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四川技能大赛——四川省第一届药品质量检验检测技能竞赛决赛</w:t>
      </w:r>
    </w:p>
    <w:p>
      <w:pPr>
        <w:widowControl/>
        <w:adjustRightInd w:val="0"/>
        <w:snapToGrid w:val="0"/>
        <w:spacing w:line="900" w:lineRule="exact"/>
        <w:jc w:val="center"/>
        <w:rPr>
          <w:rFonts w:hint="default" w:ascii="Times New Roman" w:eastAsia="方正魏碑简体"/>
          <w:kern w:val="0"/>
          <w:sz w:val="72"/>
          <w:szCs w:val="72"/>
        </w:rPr>
      </w:pPr>
    </w:p>
    <w:p>
      <w:pPr>
        <w:widowControl/>
        <w:adjustRightInd w:val="0"/>
        <w:snapToGrid w:val="0"/>
        <w:spacing w:line="900" w:lineRule="exact"/>
        <w:jc w:val="center"/>
        <w:rPr>
          <w:rFonts w:hint="default" w:ascii="Times New Roman" w:eastAsia="方正魏碑简体"/>
          <w:kern w:val="0"/>
          <w:sz w:val="72"/>
          <w:szCs w:val="72"/>
        </w:rPr>
      </w:pPr>
      <w:r>
        <w:rPr>
          <w:rFonts w:hint="default" w:ascii="Times New Roman" w:eastAsia="方正魏碑简体"/>
          <w:kern w:val="0"/>
          <w:sz w:val="72"/>
          <w:szCs w:val="72"/>
        </w:rPr>
        <w:t>活</w:t>
      </w:r>
    </w:p>
    <w:p>
      <w:pPr>
        <w:widowControl/>
        <w:adjustRightInd w:val="0"/>
        <w:snapToGrid w:val="0"/>
        <w:spacing w:line="900" w:lineRule="exact"/>
        <w:jc w:val="center"/>
        <w:rPr>
          <w:rFonts w:hint="default" w:ascii="Times New Roman" w:eastAsia="方正魏碑简体"/>
          <w:kern w:val="0"/>
          <w:sz w:val="72"/>
          <w:szCs w:val="72"/>
        </w:rPr>
      </w:pPr>
      <w:r>
        <w:rPr>
          <w:rFonts w:hint="default" w:ascii="Times New Roman" w:eastAsia="方正魏碑简体"/>
          <w:kern w:val="0"/>
          <w:sz w:val="72"/>
          <w:szCs w:val="72"/>
        </w:rPr>
        <w:t>动</w:t>
      </w:r>
    </w:p>
    <w:p>
      <w:pPr>
        <w:widowControl/>
        <w:adjustRightInd w:val="0"/>
        <w:snapToGrid w:val="0"/>
        <w:spacing w:line="900" w:lineRule="exact"/>
        <w:jc w:val="center"/>
        <w:rPr>
          <w:rFonts w:hint="default" w:ascii="Times New Roman" w:eastAsia="方正魏碑简体"/>
          <w:kern w:val="0"/>
          <w:sz w:val="72"/>
          <w:szCs w:val="72"/>
        </w:rPr>
      </w:pPr>
      <w:r>
        <w:rPr>
          <w:rFonts w:hint="default" w:ascii="Times New Roman" w:eastAsia="方正魏碑简体"/>
          <w:kern w:val="0"/>
          <w:sz w:val="72"/>
          <w:szCs w:val="72"/>
        </w:rPr>
        <w:t>方</w:t>
      </w:r>
    </w:p>
    <w:p>
      <w:pPr>
        <w:widowControl/>
        <w:adjustRightInd w:val="0"/>
        <w:snapToGrid w:val="0"/>
        <w:spacing w:line="900" w:lineRule="exact"/>
        <w:jc w:val="center"/>
        <w:rPr>
          <w:rFonts w:hint="default" w:ascii="Times New Roman" w:eastAsia="方正魏碑简体"/>
          <w:kern w:val="0"/>
          <w:sz w:val="72"/>
          <w:szCs w:val="72"/>
        </w:rPr>
      </w:pPr>
      <w:r>
        <w:rPr>
          <w:rFonts w:hint="default" w:ascii="Times New Roman" w:eastAsia="方正魏碑简体"/>
          <w:kern w:val="0"/>
          <w:sz w:val="72"/>
          <w:szCs w:val="72"/>
        </w:rPr>
        <w:t>案</w:t>
      </w:r>
    </w:p>
    <w:p>
      <w:pPr>
        <w:widowControl/>
        <w:adjustRightInd w:val="0"/>
        <w:snapToGrid w:val="0"/>
        <w:spacing w:line="900" w:lineRule="exact"/>
        <w:jc w:val="center"/>
        <w:rPr>
          <w:rFonts w:hint="default" w:ascii="Times New Roman" w:eastAsia="方正魏碑简体"/>
          <w:kern w:val="0"/>
          <w:sz w:val="72"/>
          <w:szCs w:val="72"/>
        </w:rPr>
      </w:pPr>
      <w:r>
        <w:rPr>
          <w:rFonts w:hint="default" w:ascii="Times New Roman" w:eastAsia="方正魏碑简体"/>
          <w:kern w:val="0"/>
          <w:sz w:val="72"/>
          <w:szCs w:val="72"/>
        </w:rPr>
        <w:t>及</w:t>
      </w:r>
    </w:p>
    <w:p>
      <w:pPr>
        <w:widowControl/>
        <w:adjustRightInd w:val="0"/>
        <w:snapToGrid w:val="0"/>
        <w:spacing w:line="900" w:lineRule="exact"/>
        <w:jc w:val="center"/>
        <w:rPr>
          <w:rFonts w:hint="default" w:ascii="Times New Roman" w:eastAsia="方正魏碑简体"/>
          <w:kern w:val="0"/>
          <w:sz w:val="72"/>
          <w:szCs w:val="72"/>
        </w:rPr>
      </w:pPr>
      <w:r>
        <w:rPr>
          <w:rFonts w:hint="default" w:ascii="Times New Roman" w:eastAsia="方正魏碑简体"/>
          <w:kern w:val="0"/>
          <w:sz w:val="72"/>
          <w:szCs w:val="72"/>
        </w:rPr>
        <w:t>报</w:t>
      </w:r>
    </w:p>
    <w:p>
      <w:pPr>
        <w:widowControl/>
        <w:adjustRightInd w:val="0"/>
        <w:snapToGrid w:val="0"/>
        <w:spacing w:line="900" w:lineRule="exact"/>
        <w:jc w:val="center"/>
        <w:rPr>
          <w:rFonts w:hint="default" w:ascii="Times New Roman" w:eastAsia="方正魏碑简体"/>
          <w:kern w:val="0"/>
          <w:sz w:val="72"/>
          <w:szCs w:val="72"/>
        </w:rPr>
      </w:pPr>
      <w:r>
        <w:rPr>
          <w:rFonts w:hint="default" w:ascii="Times New Roman" w:eastAsia="方正魏碑简体"/>
          <w:kern w:val="0"/>
          <w:sz w:val="72"/>
          <w:szCs w:val="72"/>
        </w:rPr>
        <w:t>价</w:t>
      </w:r>
    </w:p>
    <w:p>
      <w:pPr>
        <w:widowControl/>
        <w:adjustRightInd w:val="0"/>
        <w:snapToGrid w:val="0"/>
        <w:spacing w:line="900" w:lineRule="exact"/>
        <w:jc w:val="center"/>
        <w:rPr>
          <w:rFonts w:hint="default" w:ascii="Times New Roman" w:eastAsia="黑体"/>
          <w:kern w:val="0"/>
          <w:sz w:val="72"/>
          <w:szCs w:val="72"/>
        </w:rPr>
      </w:pPr>
      <w:r>
        <w:rPr>
          <w:rFonts w:hint="default" w:ascii="Times New Roman" w:eastAsia="方正魏碑简体"/>
          <w:kern w:val="0"/>
          <w:sz w:val="72"/>
          <w:szCs w:val="72"/>
        </w:rPr>
        <w:t>书</w:t>
      </w:r>
    </w:p>
    <w:p>
      <w:pPr>
        <w:widowControl/>
        <w:adjustRightInd w:val="0"/>
        <w:snapToGrid w:val="0"/>
        <w:jc w:val="center"/>
        <w:rPr>
          <w:rFonts w:hint="default" w:ascii="Times New Roman" w:eastAsia="黑体"/>
          <w:kern w:val="0"/>
          <w:sz w:val="52"/>
          <w:szCs w:val="52"/>
        </w:rPr>
      </w:pPr>
    </w:p>
    <w:p>
      <w:pPr>
        <w:widowControl/>
        <w:adjustRightInd w:val="0"/>
        <w:snapToGrid w:val="0"/>
        <w:jc w:val="center"/>
        <w:rPr>
          <w:rFonts w:hint="default" w:ascii="Times New Roman" w:eastAsia="黑体"/>
          <w:kern w:val="0"/>
          <w:sz w:val="52"/>
          <w:szCs w:val="52"/>
        </w:rPr>
      </w:pPr>
    </w:p>
    <w:p>
      <w:pPr>
        <w:widowControl/>
        <w:adjustRightInd w:val="0"/>
        <w:snapToGrid w:val="0"/>
        <w:jc w:val="both"/>
        <w:rPr>
          <w:rFonts w:hint="default" w:ascii="Times New Roman" w:eastAsia="仿宋_GB2312"/>
          <w:kern w:val="0"/>
          <w:sz w:val="32"/>
          <w:szCs w:val="32"/>
        </w:rPr>
      </w:pPr>
      <w:r>
        <w:rPr>
          <w:rFonts w:hint="default" w:ascii="Times New Roman" w:eastAsia="仿宋_GB2312"/>
          <w:kern w:val="0"/>
          <w:sz w:val="32"/>
          <w:szCs w:val="32"/>
        </w:rPr>
        <w:t xml:space="preserve">报价单位（盖章）：      </w:t>
      </w:r>
    </w:p>
    <w:p>
      <w:pPr>
        <w:widowControl/>
        <w:adjustRightInd w:val="0"/>
        <w:snapToGrid w:val="0"/>
        <w:jc w:val="both"/>
        <w:rPr>
          <w:rFonts w:hint="default" w:ascii="Times New Roman" w:eastAsia="仿宋_GB2312"/>
          <w:kern w:val="0"/>
          <w:sz w:val="32"/>
          <w:szCs w:val="32"/>
        </w:rPr>
      </w:pPr>
    </w:p>
    <w:p>
      <w:pPr>
        <w:widowControl/>
        <w:adjustRightInd w:val="0"/>
        <w:snapToGrid w:val="0"/>
        <w:jc w:val="center"/>
        <w:rPr>
          <w:rFonts w:hint="eastAsia" w:ascii="方正小标宋简体" w:hAnsi="方正小标宋简体" w:eastAsia="方正小标宋简体" w:cs="方正小标宋简体"/>
          <w:b/>
          <w:bCs/>
          <w:kern w:val="0"/>
          <w:sz w:val="44"/>
          <w:szCs w:val="44"/>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月  日</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方正小标宋简体" w:hAnsi="方正小标宋简体" w:eastAsia="方正小标宋简体" w:cs="方正小标宋简体"/>
          <w:b w:val="0"/>
          <w:bCs w:val="0"/>
          <w:kern w:val="0"/>
          <w:sz w:val="44"/>
          <w:szCs w:val="44"/>
        </w:rPr>
      </w:pPr>
    </w:p>
    <w:p>
      <w:pPr>
        <w:widowControl/>
        <w:adjustRightInd w:val="0"/>
        <w:snapToGrid w:val="0"/>
        <w:spacing w:line="64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四川技能大赛——四川省第一届药品质量检验检测技能竞赛决赛赛事方案及报价书</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eastAsia="方正小标宋简体"/>
          <w:kern w:val="0"/>
          <w:sz w:val="44"/>
          <w:szCs w:val="44"/>
        </w:rPr>
      </w:pPr>
    </w:p>
    <w:p>
      <w:pPr>
        <w:adjustRightInd w:val="0"/>
        <w:spacing w:line="600" w:lineRule="exact"/>
        <w:ind w:firstLine="640" w:firstLineChars="200"/>
        <w:jc w:val="both"/>
        <w:rPr>
          <w:rFonts w:hint="default" w:ascii="Times New Roman" w:eastAsia="黑体"/>
          <w:kern w:val="0"/>
          <w:sz w:val="32"/>
          <w:szCs w:val="32"/>
        </w:rPr>
      </w:pPr>
      <w:r>
        <w:rPr>
          <w:rFonts w:hint="default" w:ascii="Times New Roman" w:eastAsia="黑体"/>
          <w:kern w:val="0"/>
          <w:sz w:val="32"/>
          <w:szCs w:val="32"/>
        </w:rPr>
        <w:t>一、活动主题</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eastAsia="仿宋_GB2312"/>
          <w:kern w:val="0"/>
          <w:sz w:val="32"/>
          <w:szCs w:val="32"/>
        </w:rPr>
      </w:pPr>
      <w:r>
        <w:rPr>
          <w:rFonts w:hint="default" w:ascii="Times New Roman" w:eastAsia="仿宋_GB2312"/>
          <w:kern w:val="0"/>
          <w:sz w:val="32"/>
          <w:szCs w:val="32"/>
        </w:rPr>
        <w:t>四川技能大赛——四川省第一届药品质量检验检测技能竞赛决赛</w:t>
      </w:r>
    </w:p>
    <w:p>
      <w:pPr>
        <w:adjustRightInd w:val="0"/>
        <w:spacing w:line="600" w:lineRule="exact"/>
        <w:ind w:firstLine="640" w:firstLineChars="200"/>
        <w:jc w:val="both"/>
        <w:rPr>
          <w:rFonts w:hint="default" w:ascii="Times New Roman" w:eastAsia="黑体"/>
          <w:kern w:val="0"/>
          <w:sz w:val="32"/>
          <w:szCs w:val="32"/>
        </w:rPr>
      </w:pPr>
      <w:r>
        <w:rPr>
          <w:rFonts w:hint="default" w:ascii="Times New Roman" w:eastAsia="黑体"/>
          <w:kern w:val="0"/>
          <w:sz w:val="32"/>
          <w:szCs w:val="32"/>
        </w:rPr>
        <w:t>二、活动目的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eastAsia="仿宋_GB2312"/>
          <w:kern w:val="0"/>
          <w:sz w:val="32"/>
          <w:szCs w:val="32"/>
        </w:rPr>
      </w:pPr>
      <w:r>
        <w:rPr>
          <w:rFonts w:hint="default" w:ascii="Times New Roman" w:eastAsia="仿宋_GB2312"/>
          <w:kern w:val="0"/>
          <w:sz w:val="32"/>
          <w:szCs w:val="32"/>
        </w:rPr>
        <w:t>通过药品质量检验检测技能</w:t>
      </w:r>
      <w:r>
        <w:rPr>
          <w:rFonts w:hint="eastAsia" w:ascii="Times New Roman" w:eastAsia="仿宋_GB2312"/>
          <w:kern w:val="0"/>
          <w:sz w:val="32"/>
          <w:szCs w:val="32"/>
          <w:lang w:val="en-US" w:eastAsia="zh-CN"/>
        </w:rPr>
        <w:t>竞赛</w:t>
      </w:r>
      <w:r>
        <w:rPr>
          <w:rFonts w:hint="default" w:ascii="Times New Roman" w:eastAsia="仿宋_GB2312"/>
          <w:kern w:val="0"/>
          <w:sz w:val="32"/>
          <w:szCs w:val="32"/>
        </w:rPr>
        <w:t>，</w:t>
      </w:r>
      <w:r>
        <w:rPr>
          <w:rFonts w:hint="eastAsia" w:ascii="Times New Roman" w:eastAsia="仿宋_GB2312"/>
          <w:kern w:val="0"/>
          <w:sz w:val="32"/>
          <w:szCs w:val="32"/>
          <w:lang w:val="en-US" w:eastAsia="zh-CN"/>
        </w:rPr>
        <w:t>促进省内药品检验技能人员</w:t>
      </w:r>
      <w:r>
        <w:rPr>
          <w:rFonts w:hint="default" w:ascii="Times New Roman" w:eastAsia="仿宋_GB2312"/>
          <w:kern w:val="0"/>
          <w:sz w:val="32"/>
          <w:szCs w:val="32"/>
        </w:rPr>
        <w:t>队伍业务能力和整体素质</w:t>
      </w:r>
      <w:r>
        <w:rPr>
          <w:rFonts w:hint="eastAsia" w:ascii="Times New Roman" w:eastAsia="仿宋_GB2312"/>
          <w:kern w:val="0"/>
          <w:sz w:val="32"/>
          <w:szCs w:val="32"/>
          <w:lang w:val="en-US" w:eastAsia="zh-CN"/>
        </w:rPr>
        <w:t>提升</w:t>
      </w:r>
      <w:r>
        <w:rPr>
          <w:rFonts w:hint="default" w:ascii="Times New Roman" w:eastAsia="仿宋_GB2312"/>
          <w:kern w:val="0"/>
          <w:sz w:val="32"/>
          <w:szCs w:val="32"/>
        </w:rPr>
        <w:t>，</w:t>
      </w:r>
      <w:r>
        <w:rPr>
          <w:rFonts w:hint="eastAsia" w:ascii="Times New Roman" w:eastAsia="仿宋_GB2312"/>
          <w:kern w:val="0"/>
          <w:sz w:val="32"/>
          <w:szCs w:val="32"/>
          <w:lang w:val="en-US" w:eastAsia="zh-CN"/>
        </w:rPr>
        <w:t>保障药品质量安全，提高检验准确性与增强风险防控意识，促进人才培养、激励技术创新及加强交流合作。</w:t>
      </w:r>
    </w:p>
    <w:p>
      <w:pPr>
        <w:adjustRightInd w:val="0"/>
        <w:spacing w:line="600" w:lineRule="exact"/>
        <w:ind w:firstLine="640" w:firstLineChars="200"/>
        <w:jc w:val="both"/>
        <w:rPr>
          <w:rFonts w:hint="default" w:ascii="Times New Roman" w:eastAsia="黑体"/>
          <w:kern w:val="0"/>
          <w:sz w:val="32"/>
          <w:szCs w:val="32"/>
        </w:rPr>
      </w:pPr>
      <w:r>
        <w:rPr>
          <w:rFonts w:hint="default" w:ascii="Times New Roman" w:eastAsia="黑体"/>
          <w:kern w:val="0"/>
          <w:sz w:val="32"/>
          <w:szCs w:val="32"/>
        </w:rPr>
        <w:t>三、单位经营活动情况及主要业绩优势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eastAsia="仿宋_GB2312"/>
          <w:kern w:val="0"/>
          <w:sz w:val="32"/>
          <w:szCs w:val="32"/>
        </w:rPr>
      </w:pPr>
      <w:r>
        <w:rPr>
          <w:rFonts w:hint="default" w:ascii="Times New Roman" w:eastAsia="仿宋_GB2312"/>
          <w:kern w:val="0"/>
          <w:sz w:val="32"/>
          <w:szCs w:val="32"/>
        </w:rPr>
        <w:t>（简要介绍本单位基本情况、经营活动范围、主要业绩、参加比选的主要优势等情况，特别是近五年来组织开展相关赛事、活动的情况；另附单位参与组织</w:t>
      </w:r>
      <w:r>
        <w:rPr>
          <w:rFonts w:hint="eastAsia" w:ascii="Times New Roman" w:eastAsia="仿宋_GB2312"/>
          <w:kern w:val="0"/>
          <w:sz w:val="32"/>
          <w:szCs w:val="32"/>
          <w:lang w:eastAsia="zh-CN"/>
        </w:rPr>
        <w:t>的</w:t>
      </w:r>
      <w:r>
        <w:rPr>
          <w:rFonts w:hint="default" w:ascii="Times New Roman" w:eastAsia="仿宋_GB2312"/>
          <w:kern w:val="0"/>
          <w:sz w:val="32"/>
          <w:szCs w:val="32"/>
        </w:rPr>
        <w:t>赛事、活动的合同复印件）</w:t>
      </w:r>
    </w:p>
    <w:p>
      <w:pPr>
        <w:adjustRightInd w:val="0"/>
        <w:spacing w:line="600" w:lineRule="exact"/>
        <w:ind w:firstLine="640" w:firstLineChars="200"/>
        <w:jc w:val="both"/>
        <w:rPr>
          <w:rFonts w:hint="default" w:ascii="Times New Roman" w:eastAsia="黑体"/>
          <w:kern w:val="0"/>
          <w:sz w:val="32"/>
          <w:szCs w:val="32"/>
        </w:rPr>
      </w:pPr>
      <w:r>
        <w:rPr>
          <w:rFonts w:hint="eastAsia" w:ascii="Times New Roman" w:eastAsia="黑体"/>
          <w:kern w:val="0"/>
          <w:sz w:val="32"/>
          <w:szCs w:val="32"/>
          <w:lang w:val="en-US" w:eastAsia="zh-CN"/>
        </w:rPr>
        <w:t>四</w:t>
      </w:r>
      <w:r>
        <w:rPr>
          <w:rFonts w:hint="default" w:ascii="Times New Roman" w:eastAsia="黑体"/>
          <w:kern w:val="0"/>
          <w:sz w:val="32"/>
          <w:szCs w:val="32"/>
        </w:rPr>
        <w:t>、决赛赛事安排</w:t>
      </w:r>
    </w:p>
    <w:p>
      <w:pPr>
        <w:numPr>
          <w:ilvl w:val="0"/>
          <w:numId w:val="1"/>
        </w:numPr>
        <w:adjustRightInd w:val="0"/>
        <w:spacing w:line="600" w:lineRule="exact"/>
        <w:ind w:left="0" w:leftChars="0" w:firstLine="420" w:firstLineChars="0"/>
        <w:jc w:val="both"/>
        <w:rPr>
          <w:rFonts w:hint="default" w:ascii="Times New Roman" w:eastAsia="楷体_GB2312"/>
          <w:kern w:val="0"/>
          <w:sz w:val="32"/>
          <w:szCs w:val="32"/>
        </w:rPr>
      </w:pPr>
      <w:r>
        <w:rPr>
          <w:rFonts w:hint="default" w:ascii="Times New Roman" w:eastAsia="楷体_GB2312"/>
          <w:kern w:val="0"/>
          <w:sz w:val="32"/>
          <w:szCs w:val="32"/>
        </w:rPr>
        <w:t>导演</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eastAsia="仿宋_GB2312"/>
          <w:kern w:val="0"/>
          <w:sz w:val="32"/>
          <w:szCs w:val="32"/>
        </w:rPr>
      </w:pPr>
      <w:r>
        <w:rPr>
          <w:rFonts w:hint="default" w:ascii="Times New Roman" w:eastAsia="仿宋_GB2312"/>
          <w:kern w:val="0"/>
          <w:sz w:val="32"/>
          <w:szCs w:val="32"/>
        </w:rPr>
        <w:t>（注：简要介绍导演基本情况及主要业绩；暂不能确定的，可简要描述初步考虑人选范围）</w:t>
      </w:r>
    </w:p>
    <w:p>
      <w:pPr>
        <w:numPr>
          <w:ilvl w:val="0"/>
          <w:numId w:val="1"/>
        </w:numPr>
        <w:adjustRightInd w:val="0"/>
        <w:spacing w:line="600" w:lineRule="exact"/>
        <w:ind w:left="0" w:leftChars="0" w:firstLine="420" w:firstLineChars="0"/>
        <w:jc w:val="both"/>
        <w:rPr>
          <w:rFonts w:hint="default" w:ascii="Times New Roman" w:eastAsia="楷体_GB2312"/>
          <w:kern w:val="0"/>
          <w:sz w:val="32"/>
          <w:szCs w:val="32"/>
        </w:rPr>
      </w:pPr>
      <w:r>
        <w:rPr>
          <w:rFonts w:hint="default" w:ascii="Times New Roman" w:eastAsia="楷体_GB2312"/>
          <w:kern w:val="0"/>
          <w:sz w:val="32"/>
          <w:szCs w:val="32"/>
        </w:rPr>
        <w:t>竞赛场地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eastAsia="仿宋_GB2312"/>
          <w:kern w:val="0"/>
          <w:sz w:val="32"/>
          <w:szCs w:val="32"/>
        </w:rPr>
      </w:pPr>
      <w:r>
        <w:rPr>
          <w:rFonts w:hint="default" w:ascii="Times New Roman" w:eastAsia="仿宋_GB2312"/>
          <w:kern w:val="0"/>
          <w:sz w:val="32"/>
          <w:szCs w:val="32"/>
        </w:rPr>
        <w:t>（注：简要介绍竞赛场地地址及室内情况，可提供现场图片；暂不能确定的，可简要描述初步考虑或安排）</w:t>
      </w:r>
    </w:p>
    <w:p>
      <w:pPr>
        <w:numPr>
          <w:ilvl w:val="0"/>
          <w:numId w:val="1"/>
        </w:numPr>
        <w:adjustRightInd w:val="0"/>
        <w:spacing w:line="600" w:lineRule="exact"/>
        <w:ind w:left="0" w:leftChars="0" w:firstLine="420" w:firstLineChars="0"/>
        <w:jc w:val="both"/>
        <w:rPr>
          <w:rFonts w:hint="default" w:ascii="Times New Roman" w:eastAsia="楷体_GB2312"/>
          <w:kern w:val="0"/>
          <w:sz w:val="32"/>
          <w:szCs w:val="32"/>
        </w:rPr>
      </w:pPr>
      <w:r>
        <w:rPr>
          <w:rFonts w:hint="default" w:ascii="Times New Roman" w:eastAsia="楷体_GB2312"/>
          <w:kern w:val="0"/>
          <w:sz w:val="32"/>
          <w:szCs w:val="32"/>
        </w:rPr>
        <w:t>决赛赛事安排</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eastAsia="仿宋_GB2312"/>
          <w:kern w:val="0"/>
          <w:sz w:val="32"/>
          <w:szCs w:val="32"/>
        </w:rPr>
      </w:pPr>
      <w:r>
        <w:rPr>
          <w:rFonts w:hint="default" w:ascii="Times New Roman" w:eastAsia="仿宋_GB2312"/>
          <w:kern w:val="0"/>
          <w:sz w:val="32"/>
          <w:szCs w:val="32"/>
        </w:rPr>
        <w:t>（注：决赛大体分为领导致辞、</w:t>
      </w:r>
      <w:r>
        <w:rPr>
          <w:rFonts w:hint="eastAsia" w:ascii="Times New Roman" w:eastAsia="仿宋_GB2312"/>
          <w:kern w:val="0"/>
          <w:sz w:val="32"/>
          <w:szCs w:val="32"/>
          <w:lang w:val="en-US" w:eastAsia="zh-CN"/>
        </w:rPr>
        <w:t>理论知识</w:t>
      </w:r>
      <w:r>
        <w:rPr>
          <w:rFonts w:hint="default" w:ascii="Times New Roman" w:eastAsia="仿宋_GB2312"/>
          <w:kern w:val="0"/>
          <w:sz w:val="32"/>
          <w:szCs w:val="32"/>
        </w:rPr>
        <w:t>、</w:t>
      </w:r>
      <w:r>
        <w:rPr>
          <w:rFonts w:hint="eastAsia" w:ascii="Times New Roman" w:eastAsia="仿宋_GB2312"/>
          <w:kern w:val="0"/>
          <w:sz w:val="32"/>
          <w:szCs w:val="32"/>
          <w:lang w:val="en-US" w:eastAsia="zh-CN"/>
        </w:rPr>
        <w:t>实操技能、总结</w:t>
      </w:r>
      <w:r>
        <w:rPr>
          <w:rFonts w:hint="default" w:ascii="Times New Roman" w:eastAsia="仿宋_GB2312"/>
          <w:kern w:val="0"/>
          <w:sz w:val="32"/>
          <w:szCs w:val="32"/>
        </w:rPr>
        <w:t>颁奖等环节。参选单位可对赛事相关流程进行简要初步设计）</w:t>
      </w:r>
    </w:p>
    <w:p>
      <w:pPr>
        <w:numPr>
          <w:ilvl w:val="0"/>
          <w:numId w:val="1"/>
        </w:numPr>
        <w:adjustRightInd w:val="0"/>
        <w:spacing w:line="600" w:lineRule="exact"/>
        <w:ind w:left="0" w:leftChars="0" w:firstLine="420" w:firstLineChars="0"/>
        <w:jc w:val="both"/>
        <w:rPr>
          <w:rFonts w:hint="default" w:ascii="Times New Roman" w:eastAsia="楷体_GB2312"/>
          <w:kern w:val="0"/>
          <w:sz w:val="32"/>
          <w:szCs w:val="32"/>
          <w:lang w:val="en-US" w:eastAsia="zh-CN"/>
        </w:rPr>
      </w:pPr>
      <w:r>
        <w:rPr>
          <w:rFonts w:hint="eastAsia" w:ascii="Times New Roman" w:eastAsia="楷体_GB2312"/>
          <w:kern w:val="0"/>
          <w:sz w:val="32"/>
          <w:szCs w:val="32"/>
          <w:lang w:val="en-US" w:eastAsia="zh-CN"/>
        </w:rPr>
        <w:t>试题命制方案</w:t>
      </w:r>
    </w:p>
    <w:p>
      <w:pPr>
        <w:adjustRightInd w:val="0"/>
        <w:spacing w:line="600" w:lineRule="exact"/>
        <w:ind w:firstLine="640" w:firstLineChars="200"/>
        <w:jc w:val="both"/>
        <w:rPr>
          <w:rFonts w:hint="eastAsia" w:ascii="Times New Roman" w:eastAsia="仿宋_GB2312"/>
          <w:kern w:val="0"/>
          <w:sz w:val="32"/>
          <w:szCs w:val="32"/>
          <w:lang w:val="en-US" w:eastAsia="zh-CN"/>
        </w:rPr>
      </w:pPr>
      <w:r>
        <w:rPr>
          <w:rFonts w:hint="eastAsia" w:ascii="Times New Roman" w:eastAsia="仿宋_GB2312"/>
          <w:kern w:val="0"/>
          <w:sz w:val="32"/>
          <w:szCs w:val="32"/>
          <w:lang w:val="en-US" w:eastAsia="zh-CN"/>
        </w:rPr>
        <w:t>（见附1）</w:t>
      </w:r>
    </w:p>
    <w:p>
      <w:pPr>
        <w:numPr>
          <w:ilvl w:val="0"/>
          <w:numId w:val="1"/>
        </w:numPr>
        <w:adjustRightInd w:val="0"/>
        <w:spacing w:line="600" w:lineRule="exact"/>
        <w:ind w:left="0" w:leftChars="0" w:firstLine="420" w:firstLineChars="0"/>
        <w:jc w:val="both"/>
        <w:rPr>
          <w:rFonts w:hint="default" w:ascii="Times New Roman" w:eastAsia="楷体_GB2312"/>
          <w:kern w:val="0"/>
          <w:sz w:val="32"/>
          <w:szCs w:val="32"/>
        </w:rPr>
      </w:pPr>
      <w:r>
        <w:rPr>
          <w:rFonts w:hint="default" w:ascii="Times New Roman" w:eastAsia="楷体_GB2312"/>
          <w:kern w:val="0"/>
          <w:sz w:val="32"/>
          <w:szCs w:val="32"/>
        </w:rPr>
        <w:t>其他事项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eastAsia="仿宋_GB2312"/>
          <w:kern w:val="0"/>
          <w:sz w:val="32"/>
          <w:szCs w:val="32"/>
        </w:rPr>
      </w:pPr>
      <w:r>
        <w:rPr>
          <w:rFonts w:hint="default" w:ascii="Times New Roman" w:eastAsia="仿宋_GB2312"/>
          <w:kern w:val="0"/>
          <w:sz w:val="32"/>
          <w:szCs w:val="32"/>
        </w:rPr>
        <w:t>（注：可结合实际，描述与总决赛赛事相关的其他未尽事宜，可适当增加相关项目）</w:t>
      </w:r>
    </w:p>
    <w:p>
      <w:pPr>
        <w:adjustRightInd w:val="0"/>
        <w:spacing w:line="600" w:lineRule="exact"/>
        <w:ind w:firstLine="640" w:firstLineChars="200"/>
        <w:jc w:val="both"/>
        <w:rPr>
          <w:rFonts w:hint="default" w:ascii="Times New Roman" w:eastAsia="黑体"/>
          <w:kern w:val="0"/>
          <w:sz w:val="32"/>
          <w:szCs w:val="32"/>
        </w:rPr>
      </w:pPr>
      <w:r>
        <w:rPr>
          <w:rFonts w:hint="default" w:ascii="Times New Roman" w:eastAsia="黑体"/>
          <w:kern w:val="0"/>
          <w:sz w:val="32"/>
          <w:szCs w:val="32"/>
        </w:rPr>
        <w:t>六、购买服务买方报价</w:t>
      </w:r>
    </w:p>
    <w:p>
      <w:pPr>
        <w:numPr>
          <w:ilvl w:val="0"/>
          <w:numId w:val="2"/>
        </w:numPr>
        <w:adjustRightInd w:val="0"/>
        <w:spacing w:line="600" w:lineRule="exact"/>
        <w:ind w:left="0" w:leftChars="0" w:firstLine="420" w:firstLineChars="0"/>
        <w:jc w:val="both"/>
        <w:rPr>
          <w:rFonts w:hint="default" w:ascii="Times New Roman" w:eastAsia="仿宋_GB2312"/>
          <w:kern w:val="0"/>
          <w:sz w:val="32"/>
          <w:szCs w:val="32"/>
        </w:rPr>
      </w:pPr>
      <w:r>
        <w:rPr>
          <w:rFonts w:hint="default" w:ascii="Times New Roman" w:eastAsia="仿宋_GB2312"/>
          <w:kern w:val="0"/>
          <w:sz w:val="32"/>
          <w:szCs w:val="32"/>
        </w:rPr>
        <w:t>决赛赛事策划及文案费：</w:t>
      </w:r>
    </w:p>
    <w:p>
      <w:pPr>
        <w:numPr>
          <w:ilvl w:val="0"/>
          <w:numId w:val="2"/>
        </w:numPr>
        <w:adjustRightInd w:val="0"/>
        <w:spacing w:line="600" w:lineRule="exact"/>
        <w:ind w:left="0" w:leftChars="0" w:firstLine="420" w:firstLineChars="0"/>
        <w:jc w:val="both"/>
        <w:rPr>
          <w:rFonts w:hint="eastAsia" w:ascii="Times New Roman" w:eastAsia="仿宋_GB2312"/>
          <w:kern w:val="0"/>
          <w:sz w:val="32"/>
          <w:szCs w:val="32"/>
          <w:lang w:val="en-US" w:eastAsia="zh-CN"/>
        </w:rPr>
      </w:pPr>
      <w:r>
        <w:rPr>
          <w:rFonts w:hint="default" w:ascii="Times New Roman" w:eastAsia="仿宋_GB2312"/>
          <w:kern w:val="0"/>
          <w:sz w:val="32"/>
          <w:szCs w:val="32"/>
        </w:rPr>
        <w:t>决赛试题</w:t>
      </w:r>
      <w:r>
        <w:rPr>
          <w:rFonts w:hint="eastAsia" w:ascii="Times New Roman" w:eastAsia="仿宋_GB2312"/>
          <w:kern w:val="0"/>
          <w:sz w:val="32"/>
          <w:szCs w:val="32"/>
          <w:lang w:val="en-US" w:eastAsia="zh-CN"/>
        </w:rPr>
        <w:t>命制费：</w:t>
      </w:r>
    </w:p>
    <w:p>
      <w:pPr>
        <w:numPr>
          <w:ilvl w:val="0"/>
          <w:numId w:val="2"/>
        </w:numPr>
        <w:adjustRightInd w:val="0"/>
        <w:spacing w:line="600" w:lineRule="exact"/>
        <w:ind w:left="0" w:leftChars="0" w:firstLine="420" w:firstLineChars="0"/>
        <w:jc w:val="both"/>
        <w:rPr>
          <w:rFonts w:hint="default" w:ascii="Times New Roman" w:eastAsia="仿宋_GB2312"/>
          <w:kern w:val="0"/>
          <w:sz w:val="32"/>
          <w:szCs w:val="32"/>
        </w:rPr>
      </w:pPr>
      <w:r>
        <w:rPr>
          <w:rFonts w:hint="eastAsia" w:ascii="Times New Roman" w:eastAsia="仿宋_GB2312"/>
          <w:kern w:val="0"/>
          <w:sz w:val="32"/>
          <w:szCs w:val="32"/>
          <w:lang w:val="en-US" w:eastAsia="zh-CN"/>
        </w:rPr>
        <w:t>决赛理论竞赛</w:t>
      </w:r>
      <w:r>
        <w:rPr>
          <w:rFonts w:hint="default" w:ascii="Times New Roman" w:eastAsia="仿宋_GB2312"/>
          <w:kern w:val="0"/>
          <w:sz w:val="32"/>
          <w:szCs w:val="32"/>
        </w:rPr>
        <w:t>系统开发及设施设备费：</w:t>
      </w:r>
    </w:p>
    <w:p>
      <w:pPr>
        <w:numPr>
          <w:ilvl w:val="0"/>
          <w:numId w:val="2"/>
        </w:numPr>
        <w:adjustRightInd w:val="0"/>
        <w:spacing w:line="600" w:lineRule="exact"/>
        <w:ind w:left="0" w:leftChars="0" w:firstLine="420" w:firstLineChars="0"/>
        <w:jc w:val="both"/>
        <w:rPr>
          <w:rFonts w:hint="default" w:ascii="Times New Roman" w:eastAsia="仿宋_GB2312"/>
          <w:kern w:val="0"/>
          <w:sz w:val="32"/>
          <w:szCs w:val="32"/>
        </w:rPr>
      </w:pPr>
      <w:r>
        <w:rPr>
          <w:rFonts w:hint="default" w:ascii="Times New Roman" w:eastAsia="仿宋_GB2312"/>
          <w:kern w:val="0"/>
          <w:sz w:val="32"/>
          <w:szCs w:val="32"/>
        </w:rPr>
        <w:t>决赛场地租赁费：</w:t>
      </w:r>
    </w:p>
    <w:p>
      <w:pPr>
        <w:numPr>
          <w:ilvl w:val="0"/>
          <w:numId w:val="2"/>
        </w:numPr>
        <w:adjustRightInd w:val="0"/>
        <w:spacing w:line="600" w:lineRule="exact"/>
        <w:ind w:left="0" w:leftChars="0" w:firstLine="420" w:firstLineChars="0"/>
        <w:jc w:val="both"/>
        <w:rPr>
          <w:rFonts w:hint="default" w:ascii="Times New Roman" w:eastAsia="仿宋_GB2312"/>
          <w:kern w:val="0"/>
          <w:sz w:val="32"/>
          <w:szCs w:val="32"/>
        </w:rPr>
      </w:pPr>
      <w:r>
        <w:rPr>
          <w:rFonts w:hint="default" w:ascii="Times New Roman" w:eastAsia="仿宋_GB2312"/>
          <w:kern w:val="0"/>
          <w:sz w:val="32"/>
          <w:szCs w:val="32"/>
        </w:rPr>
        <w:t>决赛</w:t>
      </w:r>
      <w:r>
        <w:rPr>
          <w:rFonts w:hint="eastAsia" w:ascii="Times New Roman" w:eastAsia="仿宋_GB2312"/>
          <w:kern w:val="0"/>
          <w:sz w:val="32"/>
          <w:szCs w:val="32"/>
          <w:lang w:val="en-US" w:eastAsia="zh-CN"/>
        </w:rPr>
        <w:t>场地</w:t>
      </w:r>
      <w:r>
        <w:rPr>
          <w:rFonts w:hint="default" w:ascii="Times New Roman" w:eastAsia="仿宋_GB2312"/>
          <w:kern w:val="0"/>
          <w:sz w:val="32"/>
          <w:szCs w:val="32"/>
        </w:rPr>
        <w:t>布景、舞美、宣传展板等费用：（注：可同时提供相关布景设计方案等）</w:t>
      </w:r>
    </w:p>
    <w:p>
      <w:pPr>
        <w:numPr>
          <w:ilvl w:val="0"/>
          <w:numId w:val="2"/>
        </w:numPr>
        <w:adjustRightInd w:val="0"/>
        <w:spacing w:line="600" w:lineRule="exact"/>
        <w:ind w:left="0" w:leftChars="0" w:firstLine="420" w:firstLineChars="0"/>
        <w:jc w:val="both"/>
        <w:rPr>
          <w:rFonts w:hint="default" w:ascii="Times New Roman" w:eastAsia="仿宋_GB2312"/>
          <w:kern w:val="0"/>
          <w:sz w:val="32"/>
          <w:szCs w:val="32"/>
          <w:lang w:val="en-US" w:eastAsia="zh-CN"/>
        </w:rPr>
      </w:pPr>
      <w:r>
        <w:rPr>
          <w:rFonts w:hint="eastAsia" w:ascii="Times New Roman" w:eastAsia="仿宋_GB2312"/>
          <w:kern w:val="0"/>
          <w:sz w:val="32"/>
          <w:szCs w:val="32"/>
          <w:lang w:val="en-US" w:eastAsia="zh-CN"/>
        </w:rPr>
        <w:t>决赛裁判费用：（注：包括裁判劳务费、往返交通费、住宿费等）</w:t>
      </w:r>
    </w:p>
    <w:p>
      <w:pPr>
        <w:numPr>
          <w:ilvl w:val="0"/>
          <w:numId w:val="2"/>
        </w:numPr>
        <w:adjustRightInd w:val="0"/>
        <w:spacing w:line="600" w:lineRule="exact"/>
        <w:ind w:left="0" w:leftChars="0" w:firstLine="420" w:firstLineChars="0"/>
        <w:jc w:val="both"/>
        <w:rPr>
          <w:rFonts w:hint="default" w:ascii="Times New Roman" w:eastAsia="仿宋_GB2312"/>
          <w:kern w:val="0"/>
          <w:sz w:val="32"/>
          <w:szCs w:val="32"/>
          <w:lang w:val="en-US" w:eastAsia="zh-CN"/>
        </w:rPr>
      </w:pPr>
      <w:r>
        <w:rPr>
          <w:rFonts w:hint="eastAsia" w:ascii="Times New Roman" w:eastAsia="仿宋_GB2312"/>
          <w:kern w:val="0"/>
          <w:sz w:val="32"/>
          <w:szCs w:val="32"/>
          <w:lang w:val="en-US" w:eastAsia="zh-CN"/>
        </w:rPr>
        <w:t>决赛实操环节费用：（注：包括仪器设备租赁费、耗材购买费、计量校准费等）</w:t>
      </w:r>
    </w:p>
    <w:p>
      <w:pPr>
        <w:numPr>
          <w:ilvl w:val="0"/>
          <w:numId w:val="2"/>
        </w:numPr>
        <w:adjustRightInd w:val="0"/>
        <w:spacing w:line="600" w:lineRule="exact"/>
        <w:ind w:left="0" w:leftChars="0" w:firstLine="420" w:firstLineChars="0"/>
        <w:jc w:val="both"/>
        <w:rPr>
          <w:rFonts w:hint="default" w:ascii="Times New Roman" w:eastAsia="仿宋_GB2312"/>
          <w:sz w:val="32"/>
          <w:szCs w:val="32"/>
        </w:rPr>
      </w:pPr>
      <w:r>
        <w:rPr>
          <w:rFonts w:hint="default" w:ascii="Times New Roman" w:eastAsia="仿宋_GB2312"/>
          <w:kern w:val="0"/>
          <w:sz w:val="32"/>
          <w:szCs w:val="32"/>
        </w:rPr>
        <w:t>决赛</w:t>
      </w:r>
      <w:r>
        <w:rPr>
          <w:rFonts w:hint="eastAsia" w:ascii="Times New Roman" w:eastAsia="仿宋_GB2312"/>
          <w:kern w:val="0"/>
          <w:sz w:val="32"/>
          <w:szCs w:val="32"/>
          <w:lang w:val="en-US" w:eastAsia="zh-CN"/>
        </w:rPr>
        <w:t>场地</w:t>
      </w:r>
      <w:r>
        <w:rPr>
          <w:rFonts w:hint="default" w:ascii="Times New Roman" w:eastAsia="仿宋_GB2312"/>
          <w:kern w:val="0"/>
          <w:sz w:val="32"/>
          <w:szCs w:val="32"/>
        </w:rPr>
        <w:t>设施设备及工作人员等费用：（注：包括</w:t>
      </w:r>
      <w:r>
        <w:rPr>
          <w:rFonts w:hint="default" w:ascii="Times New Roman" w:eastAsia="仿宋_GB2312"/>
          <w:sz w:val="32"/>
          <w:szCs w:val="32"/>
        </w:rPr>
        <w:t>决赛现场导演、节目主持、人员化妆、视频录制、节目编辑、人员接待、所需设施设备费及人员劳务等费用；可结合实际相对拆分子项或进行打包报价，打包报价的应描述主要费用构成）</w:t>
      </w:r>
    </w:p>
    <w:p>
      <w:pPr>
        <w:numPr>
          <w:ilvl w:val="0"/>
          <w:numId w:val="2"/>
        </w:numPr>
        <w:adjustRightInd w:val="0"/>
        <w:spacing w:line="600" w:lineRule="exact"/>
        <w:ind w:left="0" w:leftChars="0" w:firstLine="420" w:firstLineChars="0"/>
        <w:jc w:val="both"/>
        <w:rPr>
          <w:rFonts w:hint="default" w:ascii="Times New Roman" w:eastAsia="仿宋_GB2312"/>
          <w:sz w:val="32"/>
          <w:szCs w:val="32"/>
        </w:rPr>
      </w:pPr>
      <w:r>
        <w:rPr>
          <w:rFonts w:hint="default" w:ascii="Times New Roman" w:eastAsia="仿宋_GB2312"/>
          <w:sz w:val="32"/>
          <w:szCs w:val="32"/>
        </w:rPr>
        <w:t>其他费用：（注：包括奖牌、奖杯、证书制作；后勤保障〈含午餐、晚餐保障；不超过</w:t>
      </w:r>
      <w:r>
        <w:rPr>
          <w:rFonts w:hint="eastAsia" w:ascii="Times New Roman" w:eastAsia="仿宋_GB2312"/>
          <w:sz w:val="32"/>
          <w:szCs w:val="32"/>
          <w:lang w:val="en-US" w:eastAsia="zh-CN"/>
        </w:rPr>
        <w:t>15</w:t>
      </w:r>
      <w:r>
        <w:rPr>
          <w:rFonts w:hint="default" w:ascii="Times New Roman" w:eastAsia="仿宋_GB2312"/>
          <w:sz w:val="32"/>
          <w:szCs w:val="32"/>
        </w:rPr>
        <w:t>0人，可按每人不超过50元/次进行报价〉、与决赛相关的其它费用等）</w:t>
      </w:r>
    </w:p>
    <w:p>
      <w:pPr>
        <w:numPr>
          <w:ilvl w:val="0"/>
          <w:numId w:val="2"/>
        </w:numPr>
        <w:adjustRightInd w:val="0"/>
        <w:spacing w:line="600" w:lineRule="exact"/>
        <w:ind w:left="0" w:leftChars="0" w:firstLine="420" w:firstLineChars="0"/>
        <w:jc w:val="both"/>
        <w:rPr>
          <w:rFonts w:hint="default" w:ascii="Times New Roman" w:eastAsia="仿宋_GB2312"/>
          <w:sz w:val="32"/>
          <w:szCs w:val="32"/>
        </w:rPr>
      </w:pPr>
      <w:r>
        <w:rPr>
          <w:rFonts w:hint="default" w:ascii="Times New Roman" w:eastAsia="仿宋_GB2312"/>
          <w:sz w:val="32"/>
          <w:szCs w:val="32"/>
        </w:rPr>
        <w:t>税费：</w:t>
      </w:r>
    </w:p>
    <w:p>
      <w:pPr>
        <w:numPr>
          <w:ilvl w:val="0"/>
          <w:numId w:val="2"/>
        </w:numPr>
        <w:adjustRightInd w:val="0"/>
        <w:spacing w:line="600" w:lineRule="exact"/>
        <w:ind w:left="0" w:leftChars="0" w:firstLine="420" w:firstLineChars="0"/>
        <w:jc w:val="both"/>
        <w:rPr>
          <w:rFonts w:hint="default" w:ascii="Times New Roman" w:eastAsia="仿宋_GB2312"/>
          <w:sz w:val="32"/>
          <w:szCs w:val="32"/>
        </w:rPr>
      </w:pPr>
      <w:r>
        <w:rPr>
          <w:rFonts w:hint="default" w:ascii="Times New Roman" w:eastAsia="仿宋_GB2312"/>
          <w:sz w:val="32"/>
          <w:szCs w:val="32"/>
        </w:rPr>
        <w:t>总费用：</w:t>
      </w:r>
    </w:p>
    <w:p>
      <w:pPr>
        <w:adjustRightInd w:val="0"/>
        <w:spacing w:line="600" w:lineRule="exact"/>
        <w:ind w:firstLine="640" w:firstLineChars="200"/>
        <w:jc w:val="both"/>
        <w:rPr>
          <w:rFonts w:hint="default" w:ascii="Times New Roman" w:eastAsia="仿宋_GB2312"/>
          <w:kern w:val="0"/>
          <w:sz w:val="32"/>
          <w:szCs w:val="32"/>
        </w:rPr>
      </w:pPr>
      <w:r>
        <w:rPr>
          <w:rFonts w:hint="default" w:ascii="Times New Roman" w:eastAsia="仿宋_GB2312"/>
          <w:kern w:val="0"/>
          <w:sz w:val="32"/>
          <w:szCs w:val="32"/>
        </w:rPr>
        <w:t>（注：以上报价费用构成为</w:t>
      </w:r>
      <w:r>
        <w:rPr>
          <w:rFonts w:hint="eastAsia" w:ascii="Times New Roman" w:eastAsia="仿宋_GB2312"/>
          <w:kern w:val="0"/>
          <w:sz w:val="32"/>
          <w:szCs w:val="32"/>
          <w:lang w:val="en-US" w:eastAsia="zh-CN"/>
        </w:rPr>
        <w:t>我局</w:t>
      </w:r>
      <w:r>
        <w:rPr>
          <w:rFonts w:hint="default" w:ascii="Times New Roman" w:eastAsia="仿宋_GB2312"/>
          <w:kern w:val="0"/>
          <w:sz w:val="32"/>
          <w:szCs w:val="32"/>
        </w:rPr>
        <w:t>初步考虑涉及的主要事项，各参选单位可结合项目总要求进行打包报价或适当拆分，进行项目拆分的不宜对相关报价罗列过细）</w:t>
      </w:r>
    </w:p>
    <w:p>
      <w:pPr>
        <w:adjustRightInd w:val="0"/>
        <w:spacing w:line="600" w:lineRule="exact"/>
        <w:ind w:firstLine="640" w:firstLineChars="200"/>
        <w:jc w:val="both"/>
        <w:rPr>
          <w:rFonts w:hint="default" w:ascii="Times New Roman" w:eastAsia="仿宋_GB2312"/>
          <w:kern w:val="0"/>
          <w:sz w:val="32"/>
          <w:szCs w:val="32"/>
        </w:rPr>
      </w:pPr>
    </w:p>
    <w:p>
      <w:pPr>
        <w:adjustRightInd w:val="0"/>
        <w:spacing w:line="600" w:lineRule="exact"/>
        <w:ind w:firstLine="640" w:firstLineChars="200"/>
        <w:jc w:val="both"/>
        <w:rPr>
          <w:rFonts w:hint="default" w:ascii="Times New Roman" w:eastAsia="仿宋_GB2312"/>
          <w:kern w:val="0"/>
          <w:sz w:val="32"/>
          <w:szCs w:val="32"/>
        </w:rPr>
      </w:pPr>
    </w:p>
    <w:p>
      <w:pPr>
        <w:adjustRightInd w:val="0"/>
        <w:spacing w:line="600" w:lineRule="exact"/>
        <w:ind w:firstLine="640" w:firstLineChars="200"/>
        <w:jc w:val="both"/>
        <w:rPr>
          <w:rFonts w:hint="default" w:ascii="Times New Roman" w:eastAsia="仿宋_GB2312"/>
          <w:kern w:val="0"/>
          <w:sz w:val="32"/>
          <w:szCs w:val="32"/>
        </w:rPr>
      </w:pPr>
      <w:r>
        <w:rPr>
          <w:rFonts w:hint="default" w:ascii="Times New Roman" w:eastAsia="仿宋_GB2312"/>
          <w:kern w:val="0"/>
          <w:sz w:val="32"/>
          <w:szCs w:val="32"/>
        </w:rPr>
        <w:t xml:space="preserve">                     报价单位（盖章）：</w:t>
      </w:r>
    </w:p>
    <w:p>
      <w:pPr>
        <w:adjustRightInd w:val="0"/>
        <w:spacing w:line="600" w:lineRule="exact"/>
        <w:ind w:firstLine="640" w:firstLineChars="200"/>
        <w:jc w:val="both"/>
        <w:rPr>
          <w:rFonts w:hint="default" w:ascii="Times New Roman" w:eastAsia="仿宋_GB2312"/>
          <w:kern w:val="0"/>
          <w:sz w:val="32"/>
          <w:szCs w:val="32"/>
        </w:rPr>
      </w:pPr>
      <w:r>
        <w:rPr>
          <w:rFonts w:hint="default" w:ascii="Times New Roman" w:eastAsia="仿宋_GB2312"/>
          <w:kern w:val="0"/>
          <w:sz w:val="32"/>
          <w:szCs w:val="32"/>
        </w:rPr>
        <w:t xml:space="preserve">                            年   月   日</w:t>
      </w:r>
    </w:p>
    <w:p>
      <w:pPr>
        <w:rPr>
          <w:rFonts w:hint="default" w:ascii="Times New Roman" w:eastAsia="仿宋_GB2312"/>
          <w:kern w:val="0"/>
          <w:sz w:val="32"/>
          <w:szCs w:val="32"/>
        </w:rPr>
      </w:pPr>
      <w:r>
        <w:rPr>
          <w:rFonts w:hint="default" w:ascii="Times New Roman" w:eastAsia="仿宋_GB2312"/>
          <w:kern w:val="0"/>
          <w:sz w:val="32"/>
          <w:szCs w:val="32"/>
        </w:rPr>
        <w:br w:type="page"/>
      </w:r>
    </w:p>
    <w:p>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lang w:val="en-US" w:eastAsia="zh-CN"/>
        </w:rPr>
      </w:pPr>
      <w:r>
        <w:rPr>
          <w:rFonts w:hint="eastAsia" w:ascii="黑体" w:hAnsi="黑体" w:eastAsia="黑体" w:cs="黑体"/>
          <w:sz w:val="32"/>
          <w:szCs w:val="32"/>
          <w:lang w:val="en-US" w:eastAsia="zh-CN"/>
        </w:rPr>
        <w:t>附1: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四川技能大赛-四川省第一届药品质量检验检测行业技能竞赛试题命制方案</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为进一步做好</w:t>
      </w:r>
      <w:r>
        <w:rPr>
          <w:rFonts w:hint="eastAsia" w:ascii="仿宋" w:hAnsi="仿宋" w:eastAsia="仿宋" w:cs="仿宋"/>
          <w:sz w:val="32"/>
          <w:szCs w:val="32"/>
          <w:lang w:val="en-US" w:eastAsia="zh-CN"/>
        </w:rPr>
        <w:t>四川省</w:t>
      </w:r>
      <w:r>
        <w:rPr>
          <w:rFonts w:hint="eastAsia" w:ascii="仿宋" w:hAnsi="仿宋" w:eastAsia="仿宋" w:cs="仿宋"/>
          <w:sz w:val="32"/>
          <w:szCs w:val="32"/>
        </w:rPr>
        <w:t>职业技能竞赛工作，按照四川省人力资源和社会保障厅关于职业技能竞赛管理的相关要求，</w:t>
      </w:r>
      <w:r>
        <w:rPr>
          <w:rFonts w:hint="eastAsia" w:ascii="仿宋" w:hAnsi="仿宋" w:eastAsia="仿宋" w:cs="仿宋"/>
          <w:sz w:val="32"/>
          <w:szCs w:val="32"/>
          <w:lang w:val="en-US" w:eastAsia="zh-CN"/>
        </w:rPr>
        <w:t>四川省药品监督管理局聘请行业专家组</w:t>
      </w:r>
      <w:r>
        <w:rPr>
          <w:rFonts w:hint="eastAsia" w:ascii="仿宋" w:hAnsi="仿宋" w:eastAsia="仿宋" w:cs="仿宋"/>
          <w:sz w:val="32"/>
          <w:szCs w:val="32"/>
        </w:rPr>
        <w:t>命制了</w:t>
      </w:r>
      <w:r>
        <w:rPr>
          <w:rFonts w:hint="eastAsia" w:ascii="仿宋" w:hAnsi="仿宋" w:eastAsia="仿宋" w:cs="仿宋"/>
          <w:sz w:val="32"/>
          <w:szCs w:val="32"/>
          <w:lang w:val="en-US" w:eastAsia="zh-CN"/>
        </w:rPr>
        <w:t>四川技能大赛-四川省第一届药品质量检验检测行业技能竞赛药师和中药师2</w:t>
      </w:r>
      <w:r>
        <w:rPr>
          <w:rFonts w:hint="eastAsia" w:ascii="仿宋" w:hAnsi="仿宋" w:eastAsia="仿宋" w:cs="仿宋"/>
          <w:sz w:val="32"/>
          <w:szCs w:val="32"/>
        </w:rPr>
        <w:t>个项目的竞赛试题，</w:t>
      </w:r>
      <w:r>
        <w:rPr>
          <w:rFonts w:hint="eastAsia" w:ascii="仿宋" w:hAnsi="仿宋" w:eastAsia="仿宋" w:cs="仿宋"/>
          <w:sz w:val="32"/>
          <w:szCs w:val="32"/>
          <w:lang w:val="en-US" w:eastAsia="zh-CN"/>
        </w:rPr>
        <w:t>试题命制方案如下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一、命题依据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试题内容以《中华人民共和国药品管理法》《中国药典（2020年版）》《中国药品检验标准操作规范（2019年版）》《药品检验仪器操作规程及使用指南(2019版)》及其它与药品检验检测密切相关的理论基础知识、实验室质量控制、法律法规及相关规定等为依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二、题型题量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both"/>
        <w:textAlignment w:val="auto"/>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理论题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药师理论</w:t>
      </w:r>
      <w:r>
        <w:rPr>
          <w:rFonts w:hint="eastAsia" w:ascii="仿宋" w:hAnsi="仿宋" w:eastAsia="仿宋" w:cs="仿宋"/>
          <w:sz w:val="32"/>
          <w:szCs w:val="32"/>
        </w:rPr>
        <w:t>试题题型由单选题、多选题、不定项选择题及判断题组成，其中：</w:t>
      </w:r>
      <w:r>
        <w:rPr>
          <w:rFonts w:hint="eastAsia" w:ascii="仿宋" w:hAnsi="仿宋" w:eastAsia="仿宋" w:cs="仿宋"/>
          <w:sz w:val="32"/>
          <w:szCs w:val="32"/>
          <w:lang w:val="en-US" w:eastAsia="zh-CN"/>
        </w:rPr>
        <w:t>单选题题型80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0.5</w:t>
      </w:r>
      <w:r>
        <w:rPr>
          <w:rFonts w:hint="eastAsia" w:ascii="仿宋" w:hAnsi="仿宋" w:eastAsia="仿宋" w:cs="仿宋"/>
          <w:sz w:val="32"/>
          <w:szCs w:val="32"/>
        </w:rPr>
        <w:t>分，</w:t>
      </w:r>
      <w:r>
        <w:rPr>
          <w:rFonts w:hint="eastAsia" w:ascii="仿宋" w:hAnsi="仿宋" w:eastAsia="仿宋" w:cs="仿宋"/>
          <w:sz w:val="32"/>
          <w:szCs w:val="32"/>
          <w:lang w:val="en-US" w:eastAsia="zh-CN"/>
        </w:rPr>
        <w:t>多选题题型20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1</w:t>
      </w:r>
      <w:r>
        <w:rPr>
          <w:rFonts w:hint="eastAsia" w:ascii="仿宋" w:hAnsi="仿宋" w:eastAsia="仿宋" w:cs="仿宋"/>
          <w:sz w:val="32"/>
          <w:szCs w:val="32"/>
        </w:rPr>
        <w:t>分；不定项选择题</w:t>
      </w:r>
      <w:r>
        <w:rPr>
          <w:rFonts w:hint="eastAsia" w:ascii="仿宋" w:hAnsi="仿宋" w:eastAsia="仿宋" w:cs="仿宋"/>
          <w:sz w:val="32"/>
          <w:szCs w:val="32"/>
          <w:lang w:val="en-US" w:eastAsia="zh-CN"/>
        </w:rPr>
        <w:t>题型20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1</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判断题题型40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0.5</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中药师理论</w:t>
      </w:r>
      <w:r>
        <w:rPr>
          <w:rFonts w:hint="eastAsia" w:ascii="仿宋" w:hAnsi="仿宋" w:eastAsia="仿宋" w:cs="仿宋"/>
          <w:sz w:val="32"/>
          <w:szCs w:val="32"/>
        </w:rPr>
        <w:t>试题题型由单选题、多选题、不定项选择题及判断题组成，其中：</w:t>
      </w:r>
      <w:r>
        <w:rPr>
          <w:rFonts w:hint="eastAsia" w:ascii="仿宋" w:hAnsi="仿宋" w:eastAsia="仿宋" w:cs="仿宋"/>
          <w:sz w:val="32"/>
          <w:szCs w:val="32"/>
          <w:lang w:val="en-US" w:eastAsia="zh-CN"/>
        </w:rPr>
        <w:t>单选题题型80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0.5</w:t>
      </w:r>
      <w:r>
        <w:rPr>
          <w:rFonts w:hint="eastAsia" w:ascii="仿宋" w:hAnsi="仿宋" w:eastAsia="仿宋" w:cs="仿宋"/>
          <w:sz w:val="32"/>
          <w:szCs w:val="32"/>
        </w:rPr>
        <w:t>分，</w:t>
      </w:r>
      <w:r>
        <w:rPr>
          <w:rFonts w:hint="eastAsia" w:ascii="仿宋" w:hAnsi="仿宋" w:eastAsia="仿宋" w:cs="仿宋"/>
          <w:sz w:val="32"/>
          <w:szCs w:val="32"/>
          <w:lang w:val="en-US" w:eastAsia="zh-CN"/>
        </w:rPr>
        <w:t>多选题题型20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1</w:t>
      </w:r>
      <w:r>
        <w:rPr>
          <w:rFonts w:hint="eastAsia" w:ascii="仿宋" w:hAnsi="仿宋" w:eastAsia="仿宋" w:cs="仿宋"/>
          <w:sz w:val="32"/>
          <w:szCs w:val="32"/>
        </w:rPr>
        <w:t>分；不定项选择题</w:t>
      </w:r>
      <w:r>
        <w:rPr>
          <w:rFonts w:hint="eastAsia" w:ascii="仿宋" w:hAnsi="仿宋" w:eastAsia="仿宋" w:cs="仿宋"/>
          <w:sz w:val="32"/>
          <w:szCs w:val="32"/>
          <w:lang w:val="en-US" w:eastAsia="zh-CN"/>
        </w:rPr>
        <w:t>题型20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1</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判断题题型40</w:t>
      </w:r>
      <w:r>
        <w:rPr>
          <w:rFonts w:hint="eastAsia" w:ascii="仿宋" w:hAnsi="仿宋" w:eastAsia="仿宋" w:cs="仿宋"/>
          <w:sz w:val="32"/>
          <w:szCs w:val="32"/>
        </w:rPr>
        <w:t>道，每道题</w:t>
      </w:r>
      <w:r>
        <w:rPr>
          <w:rFonts w:hint="eastAsia" w:ascii="仿宋" w:hAnsi="仿宋" w:eastAsia="仿宋" w:cs="仿宋"/>
          <w:sz w:val="32"/>
          <w:szCs w:val="32"/>
          <w:lang w:val="en-US" w:eastAsia="zh-CN"/>
        </w:rPr>
        <w:t>0.5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both"/>
        <w:textAlignment w:val="auto"/>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实操题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分析职业标准，确定考核项目，进行试题编写。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技能操作试卷正文应包括：考场准备通知单、考生准备通知单、技能操作试题、评分表和评分标准、评分说明。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三、竞赛时间</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药师：</w:t>
      </w:r>
      <w:r>
        <w:rPr>
          <w:rFonts w:hint="eastAsia" w:ascii="仿宋" w:hAnsi="仿宋" w:eastAsia="仿宋" w:cs="仿宋"/>
          <w:sz w:val="32"/>
          <w:szCs w:val="32"/>
        </w:rPr>
        <w:t>理论考试时间</w:t>
      </w:r>
      <w:r>
        <w:rPr>
          <w:rFonts w:hint="eastAsia" w:ascii="仿宋" w:hAnsi="仿宋" w:eastAsia="仿宋" w:cs="仿宋"/>
          <w:sz w:val="32"/>
          <w:szCs w:val="32"/>
          <w:lang w:val="en-US" w:eastAsia="zh-CN"/>
        </w:rPr>
        <w:t>为90分钟</w:t>
      </w:r>
      <w:r>
        <w:rPr>
          <w:rFonts w:hint="eastAsia" w:ascii="仿宋" w:hAnsi="仿宋" w:eastAsia="仿宋" w:cs="仿宋"/>
          <w:sz w:val="32"/>
          <w:szCs w:val="32"/>
        </w:rPr>
        <w:t>,实操考核时间</w:t>
      </w:r>
      <w:r>
        <w:rPr>
          <w:rFonts w:hint="eastAsia" w:ascii="仿宋" w:hAnsi="仿宋" w:eastAsia="仿宋" w:cs="仿宋"/>
          <w:sz w:val="32"/>
          <w:szCs w:val="32"/>
          <w:lang w:val="en-US" w:eastAsia="zh-CN"/>
        </w:rPr>
        <w:t>为180分钟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中药师：</w:t>
      </w:r>
      <w:r>
        <w:rPr>
          <w:rFonts w:hint="eastAsia" w:ascii="仿宋" w:hAnsi="仿宋" w:eastAsia="仿宋" w:cs="仿宋"/>
          <w:sz w:val="32"/>
          <w:szCs w:val="32"/>
        </w:rPr>
        <w:t>理论考试时间</w:t>
      </w:r>
      <w:r>
        <w:rPr>
          <w:rFonts w:hint="eastAsia" w:ascii="仿宋" w:hAnsi="仿宋" w:eastAsia="仿宋" w:cs="仿宋"/>
          <w:sz w:val="32"/>
          <w:szCs w:val="32"/>
          <w:lang w:val="en-US" w:eastAsia="zh-CN"/>
        </w:rPr>
        <w:t>为90分钟</w:t>
      </w:r>
      <w:r>
        <w:rPr>
          <w:rFonts w:hint="eastAsia" w:ascii="仿宋" w:hAnsi="仿宋" w:eastAsia="仿宋" w:cs="仿宋"/>
          <w:sz w:val="32"/>
          <w:szCs w:val="32"/>
        </w:rPr>
        <w:t>,实操考核时间</w:t>
      </w:r>
      <w:r>
        <w:rPr>
          <w:rFonts w:hint="eastAsia" w:ascii="仿宋" w:hAnsi="仿宋" w:eastAsia="仿宋" w:cs="仿宋"/>
          <w:sz w:val="32"/>
          <w:szCs w:val="32"/>
          <w:lang w:val="en-US" w:eastAsia="zh-CN"/>
        </w:rPr>
        <w:t>为120分钟。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四、组织形式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理论考试通过纸笔或者上机作答，试题由执行机构在竞赛开始前从竞赛题库中随机抽取确定。技能操作考试采取纸笔作答形式。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五、保密要求</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命题组成员名单严格保密，禁止任何人泄露和打听。</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加强对命题组所有成员的保密教育和培训，与命题组成员签订保密承诺书，明确命题组成员应当履行的保密义务。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命题工作结束后，考务组与命题组应履行严格的试题交接手续。试题由赛事执行机构负责保存。</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对泄露考题信息并造成后果</w:t>
      </w:r>
      <w:bookmarkStart w:id="0" w:name="_GoBack"/>
      <w:bookmarkEnd w:id="0"/>
      <w:r>
        <w:rPr>
          <w:rFonts w:hint="eastAsia" w:ascii="仿宋" w:hAnsi="仿宋" w:eastAsia="仿宋" w:cs="仿宋"/>
          <w:sz w:val="32"/>
          <w:szCs w:val="32"/>
          <w:lang w:val="en-US" w:eastAsia="zh-CN"/>
        </w:rPr>
        <w:t>者，按国家相关法律和规定严肃处理。</w:t>
      </w:r>
    </w:p>
    <w:p>
      <w:pPr>
        <w:pageBreakBefore w:val="0"/>
        <w:kinsoku/>
        <w:wordWrap/>
        <w:overflowPunct/>
        <w:topLinePunct w:val="0"/>
        <w:autoSpaceDE/>
        <w:autoSpaceDN/>
        <w:bidi w:val="0"/>
        <w:ind w:firstLine="640" w:firstLineChars="200"/>
        <w:jc w:val="left"/>
        <w:textAlignment w:val="auto"/>
        <w:rPr>
          <w:rFonts w:hint="eastAsia" w:ascii="仿宋" w:hAnsi="仿宋" w:eastAsia="仿宋" w:cs="仿宋"/>
          <w:sz w:val="32"/>
          <w:szCs w:val="32"/>
          <w:lang w:val="en-US" w:eastAsia="zh-CN"/>
        </w:rPr>
      </w:pPr>
    </w:p>
    <w:p>
      <w:pPr>
        <w:rPr>
          <w:rFonts w:hint="eastAsia"/>
          <w:lang w:val="en-US" w:eastAsia="zh-CN"/>
        </w:rPr>
      </w:pPr>
    </w:p>
    <w:p>
      <w:pPr>
        <w:rPr>
          <w:rFonts w:hint="default" w:ascii="Times New Roman" w:eastAsia="仿宋_GB2312"/>
          <w:kern w:val="0"/>
          <w:sz w:val="32"/>
          <w:szCs w:val="32"/>
        </w:rPr>
      </w:pPr>
      <w:r>
        <w:rPr>
          <w:rFonts w:hint="default" w:ascii="Times New Roman" w:eastAsia="仿宋_GB2312"/>
          <w:kern w:val="0"/>
          <w:sz w:val="32"/>
          <w:szCs w:val="32"/>
        </w:rPr>
        <w:br w:type="page"/>
      </w:r>
    </w:p>
    <w:p>
      <w:pPr>
        <w:adjustRightInd w:val="0"/>
        <w:spacing w:line="60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spacing w:line="300" w:lineRule="exact"/>
        <w:jc w:val="both"/>
        <w:textAlignment w:val="auto"/>
        <w:rPr>
          <w:rFonts w:hint="default" w:ascii="Times New Roman" w:eastAsia="黑体"/>
          <w:sz w:val="32"/>
          <w:szCs w:val="32"/>
        </w:rPr>
      </w:pPr>
    </w:p>
    <w:p>
      <w:pPr>
        <w:pStyle w:val="10"/>
        <w:widowControl w:val="0"/>
        <w:adjustRightInd w:val="0"/>
        <w:snapToGrid w:val="0"/>
        <w:spacing w:line="640" w:lineRule="exact"/>
        <w:rPr>
          <w:rFonts w:hint="default" w:ascii="Times New Roman" w:eastAsia="方正小标宋简体"/>
          <w:b w:val="0"/>
          <w:bCs/>
          <w:spacing w:val="60"/>
          <w:kern w:val="2"/>
          <w:sz w:val="44"/>
          <w:szCs w:val="44"/>
        </w:rPr>
      </w:pPr>
      <w:r>
        <w:rPr>
          <w:rFonts w:hint="default" w:ascii="Times New Roman" w:eastAsia="方正小标宋简体"/>
          <w:b w:val="0"/>
          <w:bCs/>
          <w:spacing w:val="60"/>
          <w:kern w:val="2"/>
          <w:sz w:val="44"/>
          <w:szCs w:val="44"/>
        </w:rPr>
        <w:t>承诺书</w:t>
      </w:r>
    </w:p>
    <w:p>
      <w:pPr>
        <w:keepNext w:val="0"/>
        <w:keepLines w:val="0"/>
        <w:pageBreakBefore w:val="0"/>
        <w:widowControl w:val="0"/>
        <w:kinsoku/>
        <w:wordWrap/>
        <w:overflowPunct/>
        <w:topLinePunct w:val="0"/>
        <w:autoSpaceDE/>
        <w:autoSpaceDN/>
        <w:bidi w:val="0"/>
        <w:adjustRightInd w:val="0"/>
        <w:snapToGrid/>
        <w:spacing w:line="300" w:lineRule="exact"/>
        <w:jc w:val="both"/>
        <w:textAlignment w:val="auto"/>
        <w:rPr>
          <w:rFonts w:hint="default" w:ascii="Times New Roman" w:eastAsia="仿宋_GB2312"/>
          <w:sz w:val="30"/>
          <w:szCs w:val="30"/>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eastAsia="仿宋_GB2312"/>
          <w:sz w:val="32"/>
          <w:szCs w:val="32"/>
          <w:u w:val="single"/>
          <w:lang w:val="en-US" w:eastAsia="zh-CN"/>
        </w:rPr>
      </w:pPr>
      <w:r>
        <w:rPr>
          <w:rFonts w:hint="default" w:ascii="Times New Roman" w:eastAsia="仿宋_GB2312"/>
          <w:sz w:val="32"/>
          <w:szCs w:val="32"/>
        </w:rPr>
        <w:t>致：</w:t>
      </w:r>
      <w:r>
        <w:rPr>
          <w:rFonts w:hint="eastAsia" w:ascii="Times New Roman" w:eastAsia="仿宋_GB2312"/>
          <w:sz w:val="32"/>
          <w:szCs w:val="32"/>
          <w:u w:val="single"/>
          <w:lang w:val="en-US" w:eastAsia="zh-CN"/>
        </w:rPr>
        <w:t>四川省药品监督管理局</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eastAsia="仿宋_GB2312"/>
          <w:sz w:val="32"/>
          <w:szCs w:val="32"/>
        </w:rPr>
      </w:pPr>
      <w:r>
        <w:rPr>
          <w:rFonts w:hint="default" w:ascii="Times New Roman" w:eastAsia="仿宋_GB2312"/>
          <w:sz w:val="32"/>
          <w:szCs w:val="32"/>
        </w:rPr>
        <w:t>本文件签署人特以本函在此声明并同意：</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eastAsia="仿宋_GB2312"/>
          <w:sz w:val="32"/>
          <w:szCs w:val="32"/>
        </w:rPr>
      </w:pPr>
      <w:r>
        <w:rPr>
          <w:rFonts w:hint="default" w:ascii="Times New Roman" w:eastAsia="仿宋_GB2312"/>
          <w:sz w:val="32"/>
          <w:szCs w:val="32"/>
        </w:rPr>
        <w:t>1.在详细研究了《关于委托第三方机构承办四川技能大赛——四川省第一届药品质量检验检测技能竞赛决赛的比选公告》后，我们完全理解并完全同意比选公告的所有要求及内容，并完全相信采购人能公开、公平、公正地确定中选单位。</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eastAsia="仿宋_GB2312"/>
          <w:sz w:val="32"/>
          <w:szCs w:val="32"/>
        </w:rPr>
      </w:pPr>
      <w:r>
        <w:rPr>
          <w:rFonts w:hint="default" w:ascii="Times New Roman" w:eastAsia="仿宋_GB2312"/>
          <w:sz w:val="32"/>
          <w:szCs w:val="32"/>
        </w:rPr>
        <w:t>2.如果我单位中选，我们承诺在与贵单位签订委托合同后保证按照采购人的要求完成相关赛事组织实施工作。</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eastAsia="仿宋_GB2312"/>
          <w:sz w:val="32"/>
          <w:szCs w:val="32"/>
        </w:rPr>
      </w:pPr>
      <w:r>
        <w:rPr>
          <w:rFonts w:hint="default" w:ascii="Times New Roman" w:eastAsia="仿宋_GB2312"/>
          <w:sz w:val="32"/>
          <w:szCs w:val="32"/>
        </w:rPr>
        <w:t>3.我单位自行承担参加此次参选所发生的一切费用。</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eastAsia="仿宋_GB2312"/>
          <w:sz w:val="32"/>
          <w:szCs w:val="32"/>
        </w:rPr>
      </w:pPr>
      <w:r>
        <w:rPr>
          <w:rFonts w:hint="default" w:ascii="Times New Roman" w:eastAsia="仿宋_GB2312"/>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eastAsia="仿宋_GB2312"/>
          <w:sz w:val="32"/>
          <w:szCs w:val="32"/>
        </w:rPr>
      </w:pPr>
    </w:p>
    <w:p>
      <w:pPr>
        <w:keepNext w:val="0"/>
        <w:keepLines w:val="0"/>
        <w:pageBreakBefore w:val="0"/>
        <w:widowControl w:val="0"/>
        <w:tabs>
          <w:tab w:val="left" w:pos="4980"/>
        </w:tabs>
        <w:kinsoku/>
        <w:wordWrap/>
        <w:overflowPunct/>
        <w:topLinePunct w:val="0"/>
        <w:autoSpaceDE/>
        <w:autoSpaceDN/>
        <w:bidi w:val="0"/>
        <w:snapToGrid/>
        <w:spacing w:line="600"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报价单位(盖章)：</w:t>
      </w:r>
      <w:r>
        <w:rPr>
          <w:rFonts w:hint="default" w:ascii="Times New Roman" w:eastAsia="仿宋_GB2312"/>
          <w:sz w:val="32"/>
          <w:szCs w:val="32"/>
          <w:u w:val="single"/>
        </w:rPr>
        <w:t xml:space="preserve">                                </w:t>
      </w:r>
      <w:r>
        <w:rPr>
          <w:rFonts w:hint="default" w:ascii="Times New Roman" w:eastAsia="仿宋_GB2312"/>
          <w:sz w:val="32"/>
          <w:szCs w:val="32"/>
        </w:rPr>
        <w:t xml:space="preserve">  </w:t>
      </w:r>
    </w:p>
    <w:p>
      <w:pPr>
        <w:keepNext w:val="0"/>
        <w:keepLines w:val="0"/>
        <w:pageBreakBefore w:val="0"/>
        <w:widowControl w:val="0"/>
        <w:tabs>
          <w:tab w:val="left" w:pos="4980"/>
        </w:tabs>
        <w:kinsoku/>
        <w:wordWrap/>
        <w:overflowPunct/>
        <w:topLinePunct w:val="0"/>
        <w:autoSpaceDE/>
        <w:autoSpaceDN/>
        <w:bidi w:val="0"/>
        <w:snapToGrid/>
        <w:spacing w:line="600" w:lineRule="exact"/>
        <w:ind w:firstLine="640" w:firstLineChars="200"/>
        <w:textAlignment w:val="auto"/>
        <w:rPr>
          <w:rFonts w:hint="default" w:ascii="Times New Roman" w:eastAsia="仿宋_GB2312"/>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法定代表人或其授权委托人(签字或盖章)：</w:t>
      </w:r>
      <w:r>
        <w:rPr>
          <w:rFonts w:hint="default" w:asci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 xml:space="preserve">                     日期：</w:t>
      </w:r>
      <w:r>
        <w:rPr>
          <w:rFonts w:hint="default" w:ascii="Times New Roman" w:eastAsia="仿宋_GB2312"/>
          <w:sz w:val="32"/>
          <w:szCs w:val="32"/>
          <w:u w:val="single"/>
        </w:rPr>
        <w:t xml:space="preserve">      </w:t>
      </w:r>
      <w:r>
        <w:rPr>
          <w:rFonts w:hint="default" w:ascii="Times New Roman" w:eastAsia="仿宋_GB2312"/>
          <w:sz w:val="32"/>
          <w:szCs w:val="32"/>
        </w:rPr>
        <w:t>年</w:t>
      </w:r>
      <w:r>
        <w:rPr>
          <w:rFonts w:hint="default" w:ascii="Times New Roman" w:eastAsia="仿宋_GB2312"/>
          <w:sz w:val="32"/>
          <w:szCs w:val="32"/>
          <w:u w:val="single"/>
        </w:rPr>
        <w:t xml:space="preserve">    </w:t>
      </w:r>
      <w:r>
        <w:rPr>
          <w:rFonts w:hint="default" w:ascii="Times New Roman" w:eastAsia="仿宋_GB2312"/>
          <w:sz w:val="32"/>
          <w:szCs w:val="32"/>
        </w:rPr>
        <w:t>月</w:t>
      </w:r>
      <w:r>
        <w:rPr>
          <w:rFonts w:hint="default" w:ascii="Times New Roman" w:eastAsia="仿宋_GB2312"/>
          <w:sz w:val="32"/>
          <w:szCs w:val="32"/>
          <w:u w:val="single"/>
        </w:rPr>
        <w:t xml:space="preserve">    </w:t>
      </w:r>
      <w:r>
        <w:rPr>
          <w:rFonts w:hint="default" w:ascii="Times New Roman" w:eastAsia="仿宋_GB2312"/>
          <w:sz w:val="32"/>
          <w:szCs w:val="32"/>
        </w:rPr>
        <w:t>日</w:t>
      </w:r>
    </w:p>
    <w:p>
      <w:r>
        <w:br w:type="page"/>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sz w:val="32"/>
          <w:szCs w:val="32"/>
          <w:lang w:val="en-US" w:eastAsia="zh-CN"/>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0"/>
          <w:sz w:val="44"/>
          <w:szCs w:val="44"/>
        </w:rPr>
        <w:t>四川技能大赛——四川省第一届药品质量检验检测技能竞赛组织实施方案</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黑体" w:cs="Times New Roman"/>
          <w:b w:val="0"/>
          <w:bCs w:val="0"/>
          <w:sz w:val="32"/>
          <w:szCs w:val="32"/>
          <w:lang w:eastAsia="zh-CN"/>
        </w:rPr>
      </w:pPr>
    </w:p>
    <w:p>
      <w:pPr>
        <w:spacing w:line="56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一、竞赛原则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为深入学习贯彻党的二十大精神、习近平总书记关于</w:t>
      </w:r>
      <w:r>
        <w:rPr>
          <w:rFonts w:hint="default" w:ascii="Times New Roman" w:hAnsi="Times New Roman" w:eastAsia="仿宋_GB2312" w:cs="Times New Roman"/>
          <w:sz w:val="32"/>
          <w:szCs w:val="32"/>
          <w:lang w:val="en-US" w:eastAsia="zh-CN"/>
        </w:rPr>
        <w:t>技能人才工作和职业技能竞赛工作的重要指示批示精神</w:t>
      </w:r>
      <w:r>
        <w:rPr>
          <w:rFonts w:hint="default" w:ascii="Times New Roman" w:hAnsi="Times New Roman" w:eastAsia="仿宋_GB2312" w:cs="Times New Roman"/>
          <w:sz w:val="32"/>
          <w:szCs w:val="32"/>
        </w:rPr>
        <w:t>，提高职业技能竞赛科学化、规范化、专业化水平，实现以赛促学、以赛促训、以赛促评、以赛促建，推进高技能人才队伍建设。按照科学、绿色、安全、节俭的理念和公平、公正、公开的原则，制定本次竞赛实施方案。</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组织</w:t>
      </w:r>
      <w:r>
        <w:rPr>
          <w:rFonts w:hint="default" w:ascii="Times New Roman" w:hAnsi="Times New Roman" w:eastAsia="黑体" w:cs="Times New Roman"/>
          <w:sz w:val="32"/>
          <w:szCs w:val="32"/>
          <w:lang w:eastAsia="zh-CN"/>
        </w:rPr>
        <w:t>机构</w:t>
      </w:r>
    </w:p>
    <w:p>
      <w:pPr>
        <w:spacing w:line="56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略</w:t>
      </w:r>
    </w:p>
    <w:p>
      <w:pPr>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、竞赛设置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本次赛项名称：“四川技能大赛——四川省第一届药品质量检验检测行业技能竞赛 ”药师和中药师</w:t>
      </w:r>
      <w:r>
        <w:rPr>
          <w:rFonts w:hint="default"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rPr>
        <w:t>赛项。</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、竞赛方式和内容</w:t>
      </w:r>
    </w:p>
    <w:p>
      <w:pPr>
        <w:spacing w:line="56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b w:val="0"/>
          <w:bCs w:val="0"/>
          <w:sz w:val="32"/>
          <w:szCs w:val="32"/>
          <w:highlight w:val="none"/>
        </w:rPr>
        <w:t>（一）竞赛方式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竞赛依据《中华人民共和国药品管理法》《中国药典（2020年版）》《中国药品检验标准操作规范（2019年版）》《药品检验仪器操作规程及使用指南(2019版)》设置竞赛标准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以“药师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中药师”的相关法律法规及理论、知识和技能要求为考核内容，并适当增加新知识、新技术进行命题。考核内容兼顾典型性和通用性，注重理</w:t>
      </w:r>
      <w:r>
        <w:rPr>
          <w:rFonts w:hint="default" w:ascii="Times New Roman" w:hAnsi="Times New Roman" w:eastAsia="仿宋_GB2312" w:cs="Times New Roman"/>
          <w:sz w:val="32"/>
          <w:szCs w:val="32"/>
          <w:lang w:eastAsia="zh-CN"/>
        </w:rPr>
        <w:t>论</w:t>
      </w:r>
      <w:r>
        <w:rPr>
          <w:rFonts w:hint="default" w:ascii="Times New Roman" w:hAnsi="Times New Roman" w:eastAsia="仿宋_GB2312" w:cs="Times New Roman"/>
          <w:sz w:val="32"/>
          <w:szCs w:val="32"/>
        </w:rPr>
        <w:t>联系实际，考查“药师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中药师”综合技能水平，特别是现场实际工作中需要熟悉和掌握的操作技能及综合分析判断能力。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本次大赛设初赛和决赛两个环节。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1.初赛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2.决赛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（1）决赛时间一天半：第一天上午理论知识竞赛，第一天下午现场操作技能竞赛，第二天上午总结颁奖。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（2）大赛方式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①理论知识竞赛：现场纸质试卷或线上作答考试。满分100分，考试时间90分钟。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②现场操作技能竞赛：现场操作。中药师考核中药材性状鉴别，满分100分，考核时间120分钟。药师组考核通过紫外-可见分光光度法进行化学药品含量测定，满分100分，考核时间180分钟。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③决赛成绩＝理论考试×30%+实操考核×70%。</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参赛选手综合成绩应保留至小数点后两位，当综合成绩出现相同时，排名并列，以现场操作技能竞赛成绩高者排序靠前。</w:t>
      </w:r>
    </w:p>
    <w:p>
      <w:pPr>
        <w:spacing w:line="56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（二）竞赛内容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1.理论知识竞赛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理论知识竞赛为现场纸质或线上作答考试，满分100分。决赛题型包括单选题、多选题、不定项选择题及判断题。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试内容：（1）《中华人民共和国药品管理法》《中国药典（2020年版）》《中国药品检验标准操作规范（2019年版）》《药品检验仪器操作规程及使用指南(2019版)》；（2）其它与药品检验检测密切相关的理论基础知识、实验室质量控制、法律法规及相关规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2.现场操作技能竞赛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通过现场中药材性状鉴别、化学药品紫外-可见分光光度法等操作，根据参赛队员的操作规范性和结果准确性进行评分，满分100分。</w:t>
      </w:r>
    </w:p>
    <w:p>
      <w:pPr>
        <w:spacing w:line="560" w:lineRule="exac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、参赛选手</w:t>
      </w:r>
      <w:r>
        <w:rPr>
          <w:rFonts w:hint="default" w:ascii="Times New Roman" w:hAnsi="Times New Roman" w:eastAsia="黑体" w:cs="Times New Roman"/>
          <w:color w:val="000000"/>
          <w:sz w:val="32"/>
          <w:szCs w:val="32"/>
          <w:lang w:eastAsia="zh-CN"/>
        </w:rPr>
        <w:t>资格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（一）热爱祖国，遵纪守法，思想品德良好，无违法犯罪记录，具有良好的职业道德，热爱本职工作，认真钻研检验检测技术；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参赛人员应为省内企业、事业单位从事药品检验检测工作5年以上且年龄45岁以下从业人员，经所在单位审核推荐特别优秀的可经四川省药品监督管理局核准后适当放宽工作年限要求参赛。四川省药品监督管理局在报备详细组织实施方案时对放宽条件参赛的核准标准及人数比例予以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（三）已获得“中华技能大奖”、“全国技术能手”和“四川省技术能手”称号的人员，不得以选手身份参加本工种职业技能大赛。</w:t>
      </w:r>
    </w:p>
    <w:p>
      <w:pPr>
        <w:spacing w:line="56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val="en-US" w:eastAsia="zh-CN"/>
        </w:rPr>
        <w:t>竞赛日程安排</w:t>
      </w:r>
    </w:p>
    <w:p>
      <w:pPr>
        <w:spacing w:line="56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（一）宣传阶段（8月2日-11月1日）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1.赛项执行委员会转发四川省人力资源和社会保障厅、四川省药品监督管理局关于联合组织开展“四川技能大赛——四川省第一届药品质量检验检测行业技能竞赛 ”活动的通知。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2.编制并印发“四川技能大赛——四川省第一届药品质量检验检测行业技能竞赛”（药师和中药师）赛项竞赛组织实施方案。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val="en-US" w:eastAsia="zh-CN"/>
        </w:rPr>
        <w:t>（二）报名阶段（11月1日-11月18日）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1.报名时间：2024年11月1日至11月18日下午17:00</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2.报名程序：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①所有参赛选手填写《参赛选手报名表》（附1）。报名表上贴2寸近期彩色照片，加盖单位公章。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②各参赛单位可推荐一名具有本专业或相关专业经验的裁判员，并填写《裁判员推荐表》（附2）</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③单位有多人参加由单位统一提交《单位参赛选手报名汇总表》（附3）。</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④提供身份证复印件一份；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⑤提交报名表、推荐表、身份证、汇总表电子版至报名邮箱、纸质版至执委会办公室。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3.指定电子邮箱：Hr@scidc.org.cn</w:t>
      </w:r>
    </w:p>
    <w:p>
      <w:pPr>
        <w:spacing w:line="56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（三）命题组织（11月18日至11月22日）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完成理论知识及实操技能命题备案工作。</w:t>
      </w:r>
    </w:p>
    <w:p>
      <w:pPr>
        <w:spacing w:line="56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（四）举办竞赛（12月7日至8日决赛）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1.竞赛时间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12月7日（决赛）上午10:00—11:30 理论知识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12月7日（决赛）下午 药师 14:00—16:00 实操技能</w:t>
      </w:r>
    </w:p>
    <w:p>
      <w:pPr>
        <w:keepNext w:val="0"/>
        <w:keepLines w:val="0"/>
        <w:pageBreakBefore w:val="0"/>
        <w:widowControl w:val="0"/>
        <w:kinsoku/>
        <w:wordWrap/>
        <w:overflowPunct/>
        <w:topLinePunct w:val="0"/>
        <w:autoSpaceDE/>
        <w:autoSpaceDN/>
        <w:bidi w:val="0"/>
        <w:adjustRightInd/>
        <w:snapToGrid/>
        <w:spacing w:line="600" w:lineRule="exact"/>
        <w:ind w:left="0"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下午 中药师14:00—17:00 实操技能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12月8日 上午 总结颁奖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2.竞赛地点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理论知识地点：四川省制药制剂有限公司6楼（地址：四川省成都市郫都区百叶路18号）；实操技能地点：待定。</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、竞赛奖励</w:t>
      </w:r>
    </w:p>
    <w:p>
      <w:pPr>
        <w:spacing w:line="56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（一）个人奖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个人奖按每个组别设置一、二、三等奖，一等奖1名、二等奖2名、三等奖3名；由大赛组委会按名次颁发奖金、奖杯及荣誉证书。另可设置优胜奖，一、二、三等奖及优胜奖获奖总人数不得超过决赛实际参赛选手数量的50%。实发奖项应根据报经人力资源社会保障厅审核确认的实际参赛规模最终确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2.对获得每个组别第1名的选手，符合相关条件的，向人力资源社会保障厅申报“四川工匠”和“四川省技术能手”。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3.对在决赛过程中表现优秀的裁判员、工作者、志愿者等工作人员，由组委会颁发“优秀工作者”荣誉证书，对工作人员的表扬不超过20名。</w:t>
      </w:r>
    </w:p>
    <w:p>
      <w:pPr>
        <w:spacing w:line="560" w:lineRule="exact"/>
        <w:ind w:firstLine="640" w:firstLineChars="20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（二）团体奖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竞赛成绩、组织工作及实际贡献情况，对办赛、参赛工作中表现优秀的单位报组委会审核确认后予以表扬，颁发“优秀组织奖”荣誉证书，原则上对参赛单位的表扬比例不超过决赛实际参赛单位总数的10%，对办赛单位的表扬比例不超过决赛备案承办单位（协办单位）总数的10%。</w:t>
      </w:r>
    </w:p>
    <w:p>
      <w:pPr>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（一）环境保护。</w:t>
      </w:r>
      <w:r>
        <w:rPr>
          <w:rFonts w:hint="default" w:ascii="Times New Roman" w:hAnsi="Times New Roman" w:eastAsia="仿宋_GB2312" w:cs="Times New Roman"/>
          <w:sz w:val="32"/>
          <w:szCs w:val="32"/>
          <w:lang w:val="en-US" w:eastAsia="zh-CN"/>
        </w:rPr>
        <w:t>大赛应注重环境保护，绝不允许破坏环境</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val="en-US" w:eastAsia="zh-CN"/>
        </w:rPr>
        <w:t>（二）循环利用。</w:t>
      </w:r>
      <w:r>
        <w:rPr>
          <w:rFonts w:hint="default" w:ascii="Times New Roman" w:hAnsi="Times New Roman" w:eastAsia="仿宋_GB2312" w:cs="Times New Roman"/>
          <w:sz w:val="32"/>
          <w:szCs w:val="32"/>
          <w:lang w:val="en-US" w:eastAsia="zh-CN"/>
        </w:rPr>
        <w:t>大赛期间产生的废弃物必须分类收集和回收。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val="en-US" w:eastAsia="zh-CN"/>
        </w:rPr>
        <w:t>（三）现场要求。</w:t>
      </w:r>
      <w:r>
        <w:rPr>
          <w:rFonts w:hint="default" w:ascii="Times New Roman" w:hAnsi="Times New Roman" w:eastAsia="仿宋_GB2312" w:cs="Times New Roman"/>
          <w:sz w:val="32"/>
          <w:szCs w:val="32"/>
          <w:lang w:val="en-US" w:eastAsia="zh-CN"/>
        </w:rPr>
        <w:t>经大赛组委会允许的媒体记者，按竞赛规则的要求进入赛场相关区域。上述相关人员不得妨碍、烦扰选手竞赛，不得有任何影响竞赛公平、公正的行为。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val="en-US" w:eastAsia="zh-CN"/>
        </w:rPr>
        <w:t>（四）经费要求。</w:t>
      </w:r>
      <w:r>
        <w:rPr>
          <w:rFonts w:hint="default" w:ascii="Times New Roman" w:hAnsi="Times New Roman" w:eastAsia="仿宋_GB2312" w:cs="Times New Roman"/>
          <w:sz w:val="32"/>
          <w:szCs w:val="32"/>
          <w:lang w:val="en-US" w:eastAsia="zh-CN"/>
        </w:rPr>
        <w:t>各赛项承办单位严格落实纪律要求，不得向参赛选手、参赛单位收取参赛费用；本次大赛参赛人员往返交通费、住宿费、餐饮费自理。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0" w:leftChars="300"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附：1.四川技能大赛——四川省第一届药品质量检验检测行业技能竞赛赛项参赛选手报名表</w:t>
      </w:r>
    </w:p>
    <w:p>
      <w:pPr>
        <w:keepNext w:val="0"/>
        <w:keepLines w:val="0"/>
        <w:pageBreakBefore w:val="0"/>
        <w:widowControl w:val="0"/>
        <w:kinsoku/>
        <w:wordWrap/>
        <w:overflowPunct/>
        <w:topLinePunct w:val="0"/>
        <w:autoSpaceDE/>
        <w:autoSpaceDN/>
        <w:bidi w:val="0"/>
        <w:adjustRightInd/>
        <w:snapToGrid/>
        <w:spacing w:line="600" w:lineRule="exact"/>
        <w:ind w:left="1580" w:leftChars="60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2.四川技能大赛——四川省第一届药品质量检验检测行业技能竞赛赛项裁判员推荐表</w:t>
      </w:r>
    </w:p>
    <w:p>
      <w:pPr>
        <w:keepNext w:val="0"/>
        <w:keepLines w:val="0"/>
        <w:pageBreakBefore w:val="0"/>
        <w:widowControl w:val="0"/>
        <w:kinsoku/>
        <w:wordWrap/>
        <w:overflowPunct/>
        <w:topLinePunct w:val="0"/>
        <w:autoSpaceDE/>
        <w:autoSpaceDN/>
        <w:bidi w:val="0"/>
        <w:adjustRightInd/>
        <w:snapToGrid/>
        <w:spacing w:line="600" w:lineRule="exact"/>
        <w:ind w:left="1580" w:leftChars="60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3.四川技能大赛——四川省第一届药品质量检验检测行业技能竞赛赛项单位参赛选手报名汇总表</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附1</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方正小标宋简体" w:hAnsi="方正小标宋简体" w:eastAsia="方正小标宋简体" w:cs="方正小标宋简体"/>
          <w:b/>
          <w:bCs/>
          <w:color w:val="auto"/>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color w:val="auto"/>
          <w:sz w:val="44"/>
          <w:szCs w:val="44"/>
          <w:vertAlign w:val="baseline"/>
          <w:lang w:val="en-US" w:eastAsia="zh-CN"/>
        </w:rPr>
      </w:pPr>
      <w:r>
        <w:rPr>
          <w:rFonts w:hint="eastAsia" w:ascii="方正小标宋简体" w:hAnsi="方正小标宋简体" w:eastAsia="方正小标宋简体" w:cs="方正小标宋简体"/>
          <w:b w:val="0"/>
          <w:bCs w:val="0"/>
          <w:color w:val="auto"/>
          <w:sz w:val="44"/>
          <w:szCs w:val="44"/>
          <w:vertAlign w:val="baseline"/>
          <w:lang w:val="en-US" w:eastAsia="zh-CN"/>
        </w:rPr>
        <w:t>四川技能大赛——四川省第一届药品质量检验检测行业技能竞赛赛项参赛选手报名表</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方正小标宋简体" w:hAnsi="方正小标宋简体" w:eastAsia="方正小标宋简体" w:cs="方正小标宋简体"/>
          <w:b/>
          <w:bCs/>
          <w:color w:val="auto"/>
          <w:sz w:val="44"/>
          <w:szCs w:val="44"/>
          <w:vertAlign w:val="baseline"/>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787"/>
        <w:gridCol w:w="1591"/>
        <w:gridCol w:w="1417"/>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姓    名</w:t>
            </w:r>
          </w:p>
        </w:tc>
        <w:tc>
          <w:tcPr>
            <w:tcW w:w="178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591"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性    别</w:t>
            </w:r>
          </w:p>
        </w:tc>
        <w:tc>
          <w:tcPr>
            <w:tcW w:w="141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944" w:type="dxa"/>
            <w:vMerge w:val="restart"/>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val="0"/>
                <w:color w:val="auto"/>
                <w:sz w:val="32"/>
                <w:szCs w:val="32"/>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（2寸证件照片）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出生年月</w:t>
            </w:r>
          </w:p>
        </w:tc>
        <w:tc>
          <w:tcPr>
            <w:tcW w:w="178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591"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民    族</w:t>
            </w:r>
          </w:p>
        </w:tc>
        <w:tc>
          <w:tcPr>
            <w:tcW w:w="141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944" w:type="dxa"/>
            <w:vMerge w:val="continue"/>
            <w:noWra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政治面貌</w:t>
            </w:r>
          </w:p>
        </w:tc>
        <w:tc>
          <w:tcPr>
            <w:tcW w:w="178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591"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文化程度</w:t>
            </w:r>
          </w:p>
        </w:tc>
        <w:tc>
          <w:tcPr>
            <w:tcW w:w="141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944" w:type="dxa"/>
            <w:vMerge w:val="continue"/>
            <w:noWra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3"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职业资格等级</w:t>
            </w:r>
          </w:p>
        </w:tc>
        <w:tc>
          <w:tcPr>
            <w:tcW w:w="178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591"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参工年月</w:t>
            </w:r>
          </w:p>
        </w:tc>
        <w:tc>
          <w:tcPr>
            <w:tcW w:w="141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944" w:type="dxa"/>
            <w:vMerge w:val="continue"/>
            <w:noWra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身份证号码</w:t>
            </w:r>
          </w:p>
        </w:tc>
        <w:tc>
          <w:tcPr>
            <w:tcW w:w="1787"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p>
        </w:tc>
        <w:tc>
          <w:tcPr>
            <w:tcW w:w="1591"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联系方式</w:t>
            </w:r>
          </w:p>
        </w:tc>
        <w:tc>
          <w:tcPr>
            <w:tcW w:w="3361" w:type="dxa"/>
            <w:gridSpan w:val="2"/>
            <w:noWrap/>
          </w:tcPr>
          <w:p>
            <w:pP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工作单位</w:t>
            </w:r>
          </w:p>
        </w:tc>
        <w:tc>
          <w:tcPr>
            <w:tcW w:w="6739" w:type="dxa"/>
            <w:gridSpan w:val="4"/>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参赛赛项</w:t>
            </w:r>
          </w:p>
        </w:tc>
        <w:tc>
          <w:tcPr>
            <w:tcW w:w="6739" w:type="dxa"/>
            <w:gridSpan w:val="4"/>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□药师           □中药师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783"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工作经历</w:t>
            </w:r>
          </w:p>
        </w:tc>
        <w:tc>
          <w:tcPr>
            <w:tcW w:w="6739" w:type="dxa"/>
            <w:gridSpan w:val="4"/>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83"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有何种突出贡献获何种奖励或荣誉称号</w:t>
            </w:r>
          </w:p>
        </w:tc>
        <w:tc>
          <w:tcPr>
            <w:tcW w:w="6739" w:type="dxa"/>
            <w:gridSpan w:val="4"/>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83"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推荐单位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意见</w:t>
            </w:r>
          </w:p>
        </w:tc>
        <w:tc>
          <w:tcPr>
            <w:tcW w:w="6739" w:type="dxa"/>
            <w:gridSpan w:val="4"/>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240" w:firstLineChars="7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单位（公章）：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783"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赛项执行委员会审查意见</w:t>
            </w:r>
          </w:p>
        </w:tc>
        <w:tc>
          <w:tcPr>
            <w:tcW w:w="6739" w:type="dxa"/>
            <w:gridSpan w:val="4"/>
            <w:noWra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240" w:firstLineChars="7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备注：本表由参赛者本人如实填写，并附相关佐证材料；若填写内</w:t>
      </w:r>
      <w:r>
        <w:rPr>
          <w:rFonts w:hint="default" w:ascii="Times New Roman" w:hAnsi="Times New Roman" w:eastAsia="仿宋_GB2312" w:cs="Times New Roman"/>
          <w:b w:val="0"/>
          <w:bCs w:val="0"/>
          <w:color w:val="auto"/>
          <w:sz w:val="32"/>
          <w:szCs w:val="32"/>
          <w:vertAlign w:val="baseline"/>
          <w:lang w:val="en-US" w:eastAsia="zh-CN"/>
        </w:rPr>
        <w:t>容较多，可附A4纸填写。</w:t>
      </w:r>
    </w:p>
    <w:p>
      <w:pPr>
        <w:ind w:firstLine="280" w:firstLineChars="100"/>
        <w:rPr>
          <w:rFonts w:hint="default" w:ascii="Times New Roman" w:hAnsi="Times New Roman" w:eastAsia="微软雅黑" w:cs="Times New Roman"/>
          <w:sz w:val="28"/>
          <w:szCs w:val="28"/>
          <w:lang w:eastAsia="zh-CN"/>
        </w:rPr>
      </w:pPr>
    </w:p>
    <w:p>
      <w:pPr>
        <w:ind w:firstLine="280" w:firstLineChars="100"/>
        <w:rPr>
          <w:rFonts w:hint="default" w:ascii="Times New Roman" w:hAnsi="Times New Roman" w:eastAsia="微软雅黑" w:cs="Times New Roman"/>
          <w:sz w:val="28"/>
          <w:szCs w:val="28"/>
          <w:lang w:eastAsia="zh-CN"/>
        </w:rPr>
      </w:pPr>
    </w:p>
    <w:p>
      <w:pPr>
        <w:rPr>
          <w:rFonts w:hint="default" w:ascii="Times New Roman" w:hAnsi="Times New Roman" w:eastAsia="微软雅黑" w:cs="Times New Roman"/>
          <w:sz w:val="28"/>
          <w:szCs w:val="28"/>
          <w:lang w:eastAsia="zh-CN"/>
        </w:rPr>
      </w:pPr>
      <w:r>
        <w:rPr>
          <w:rFonts w:hint="default" w:ascii="Times New Roman" w:hAnsi="Times New Roman" w:eastAsia="微软雅黑" w:cs="Times New Roman"/>
          <w:sz w:val="28"/>
          <w:szCs w:val="28"/>
          <w:lang w:eastAsia="zh-CN"/>
        </w:rPr>
        <w:br w:type="page"/>
      </w:r>
    </w:p>
    <w:p>
      <w:pPr>
        <w:pStyle w:val="5"/>
        <w:ind w:left="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方正小标宋简体" w:hAnsi="方正小标宋简体" w:eastAsia="方正小标宋简体" w:cs="方正小标宋简体"/>
          <w:b/>
          <w:bCs/>
          <w:color w:val="auto"/>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vertAlign w:val="baseline"/>
          <w:lang w:val="en-US" w:eastAsia="zh-CN"/>
        </w:rPr>
      </w:pPr>
      <w:r>
        <w:rPr>
          <w:rFonts w:hint="eastAsia" w:ascii="方正小标宋简体" w:hAnsi="方正小标宋简体" w:eastAsia="方正小标宋简体" w:cs="方正小标宋简体"/>
          <w:b w:val="0"/>
          <w:bCs w:val="0"/>
          <w:color w:val="auto"/>
          <w:sz w:val="44"/>
          <w:szCs w:val="44"/>
          <w:vertAlign w:val="baseline"/>
          <w:lang w:val="en-US" w:eastAsia="zh-CN"/>
        </w:rPr>
        <w:t>四川技能大赛——四川省第一届药品质量检验检测行业技能竞赛赛项裁判员推荐表</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方正小标宋简体" w:hAnsi="方正小标宋简体" w:eastAsia="方正小标宋简体" w:cs="方正小标宋简体"/>
          <w:b/>
          <w:bCs/>
          <w:color w:val="auto"/>
          <w:sz w:val="44"/>
          <w:szCs w:val="44"/>
          <w:vertAlign w:val="baseline"/>
          <w:lang w:val="en-US" w:eastAsia="zh-CN"/>
        </w:rPr>
      </w:pPr>
    </w:p>
    <w:p>
      <w:pPr>
        <w:rPr>
          <w:rFonts w:hint="default" w:ascii="Times New Roman" w:hAnsi="Times New Roman" w:cs="Times New Roman"/>
          <w:color w:val="FF0000"/>
          <w:lang w:eastAsia="zh-CN"/>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8"/>
        <w:gridCol w:w="1564"/>
        <w:gridCol w:w="1648"/>
        <w:gridCol w:w="1620"/>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945" w:type="dxa"/>
            <w:tcBorders>
              <w:top w:val="single" w:color="000000" w:sz="8" w:space="0"/>
              <w:lef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    名</w:t>
            </w:r>
          </w:p>
        </w:tc>
        <w:tc>
          <w:tcPr>
            <w:tcW w:w="1751" w:type="dxa"/>
            <w:tcBorders>
              <w:top w:val="single" w:color="000000" w:sz="8" w:space="0"/>
            </w:tcBorders>
            <w:vAlign w:val="center"/>
          </w:tcPr>
          <w:p>
            <w:pPr>
              <w:jc w:val="center"/>
              <w:rPr>
                <w:rFonts w:hint="eastAsia" w:ascii="仿宋_GB2312" w:hAnsi="仿宋_GB2312" w:eastAsia="仿宋_GB2312" w:cs="仿宋_GB2312"/>
                <w:color w:val="auto"/>
                <w:sz w:val="32"/>
                <w:szCs w:val="32"/>
              </w:rPr>
            </w:pPr>
          </w:p>
        </w:tc>
        <w:tc>
          <w:tcPr>
            <w:tcW w:w="1845" w:type="dxa"/>
            <w:tcBorders>
              <w:top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性    别</w:t>
            </w:r>
          </w:p>
        </w:tc>
        <w:tc>
          <w:tcPr>
            <w:tcW w:w="1813" w:type="dxa"/>
            <w:tcBorders>
              <w:top w:val="single" w:color="000000" w:sz="8" w:space="0"/>
            </w:tcBorders>
            <w:vAlign w:val="center"/>
          </w:tcPr>
          <w:p>
            <w:pPr>
              <w:jc w:val="center"/>
              <w:rPr>
                <w:rFonts w:hint="eastAsia" w:ascii="仿宋_GB2312" w:hAnsi="仿宋_GB2312" w:eastAsia="仿宋_GB2312" w:cs="仿宋_GB2312"/>
                <w:color w:val="auto"/>
                <w:sz w:val="32"/>
                <w:szCs w:val="32"/>
              </w:rPr>
            </w:pPr>
          </w:p>
        </w:tc>
        <w:tc>
          <w:tcPr>
            <w:tcW w:w="1965" w:type="dxa"/>
            <w:vMerge w:val="restart"/>
            <w:tcBorders>
              <w:top w:val="single" w:color="000000" w:sz="8" w:space="0"/>
              <w:righ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近期免冠</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5" w:type="dxa"/>
            <w:tcBorders>
              <w:lef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出生年月</w:t>
            </w:r>
          </w:p>
        </w:tc>
        <w:tc>
          <w:tcPr>
            <w:tcW w:w="1751" w:type="dxa"/>
            <w:vAlign w:val="center"/>
          </w:tcPr>
          <w:p>
            <w:pPr>
              <w:jc w:val="center"/>
              <w:rPr>
                <w:rFonts w:hint="eastAsia" w:ascii="仿宋_GB2312" w:hAnsi="仿宋_GB2312" w:eastAsia="仿宋_GB2312" w:cs="仿宋_GB2312"/>
                <w:color w:val="auto"/>
                <w:sz w:val="32"/>
                <w:szCs w:val="32"/>
              </w:rPr>
            </w:pPr>
          </w:p>
        </w:tc>
        <w:tc>
          <w:tcPr>
            <w:tcW w:w="1845" w:type="dxa"/>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    历</w:t>
            </w:r>
          </w:p>
        </w:tc>
        <w:tc>
          <w:tcPr>
            <w:tcW w:w="1813" w:type="dxa"/>
            <w:vAlign w:val="center"/>
          </w:tcPr>
          <w:p>
            <w:pPr>
              <w:jc w:val="center"/>
              <w:rPr>
                <w:rFonts w:hint="eastAsia" w:ascii="仿宋_GB2312" w:hAnsi="仿宋_GB2312" w:eastAsia="仿宋_GB2312" w:cs="仿宋_GB2312"/>
                <w:color w:val="auto"/>
                <w:sz w:val="32"/>
                <w:szCs w:val="32"/>
              </w:rPr>
            </w:pPr>
          </w:p>
        </w:tc>
        <w:tc>
          <w:tcPr>
            <w:tcW w:w="1965" w:type="dxa"/>
            <w:vMerge w:val="continue"/>
            <w:tcBorders>
              <w:right w:val="single" w:color="000000" w:sz="8" w:space="0"/>
            </w:tcBorders>
            <w:vAlign w:val="center"/>
          </w:tcPr>
          <w:p>
            <w:pPr>
              <w:rPr>
                <w:rFonts w:hint="eastAsia" w:ascii="仿宋_GB2312" w:hAnsi="仿宋_GB2312" w:eastAsia="仿宋_GB2312" w:cs="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5" w:type="dxa"/>
            <w:tcBorders>
              <w:lef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p>
        </w:tc>
        <w:tc>
          <w:tcPr>
            <w:tcW w:w="1751" w:type="dxa"/>
            <w:vAlign w:val="center"/>
          </w:tcPr>
          <w:p>
            <w:pPr>
              <w:jc w:val="center"/>
              <w:rPr>
                <w:rFonts w:hint="eastAsia" w:ascii="仿宋_GB2312" w:hAnsi="仿宋_GB2312" w:eastAsia="仿宋_GB2312" w:cs="仿宋_GB2312"/>
                <w:color w:val="auto"/>
                <w:sz w:val="32"/>
                <w:szCs w:val="32"/>
              </w:rPr>
            </w:pPr>
          </w:p>
        </w:tc>
        <w:tc>
          <w:tcPr>
            <w:tcW w:w="1845" w:type="dxa"/>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    编</w:t>
            </w:r>
          </w:p>
        </w:tc>
        <w:tc>
          <w:tcPr>
            <w:tcW w:w="1813" w:type="dxa"/>
            <w:vAlign w:val="center"/>
          </w:tcPr>
          <w:p>
            <w:pPr>
              <w:jc w:val="center"/>
              <w:rPr>
                <w:rFonts w:hint="eastAsia" w:ascii="仿宋_GB2312" w:hAnsi="仿宋_GB2312" w:eastAsia="仿宋_GB2312" w:cs="仿宋_GB2312"/>
                <w:color w:val="auto"/>
                <w:sz w:val="32"/>
                <w:szCs w:val="32"/>
              </w:rPr>
            </w:pPr>
          </w:p>
        </w:tc>
        <w:tc>
          <w:tcPr>
            <w:tcW w:w="1965" w:type="dxa"/>
            <w:vMerge w:val="continue"/>
            <w:tcBorders>
              <w:right w:val="single" w:color="000000" w:sz="8" w:space="0"/>
            </w:tcBorders>
            <w:vAlign w:val="center"/>
          </w:tcPr>
          <w:p>
            <w:pPr>
              <w:rPr>
                <w:rFonts w:hint="eastAsia" w:ascii="仿宋_GB2312" w:hAnsi="仿宋_GB2312" w:eastAsia="仿宋_GB2312" w:cs="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945" w:type="dxa"/>
            <w:tcBorders>
              <w:lef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p>
        </w:tc>
        <w:tc>
          <w:tcPr>
            <w:tcW w:w="1751" w:type="dxa"/>
            <w:vAlign w:val="center"/>
          </w:tcPr>
          <w:p>
            <w:pPr>
              <w:jc w:val="center"/>
              <w:rPr>
                <w:rFonts w:hint="eastAsia" w:ascii="仿宋_GB2312" w:hAnsi="仿宋_GB2312" w:eastAsia="仿宋_GB2312" w:cs="仿宋_GB2312"/>
                <w:color w:val="auto"/>
                <w:sz w:val="32"/>
                <w:szCs w:val="32"/>
              </w:rPr>
            </w:pPr>
          </w:p>
        </w:tc>
        <w:tc>
          <w:tcPr>
            <w:tcW w:w="1845" w:type="dxa"/>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职业资格等级</w:t>
            </w:r>
          </w:p>
        </w:tc>
        <w:tc>
          <w:tcPr>
            <w:tcW w:w="1813" w:type="dxa"/>
            <w:vAlign w:val="center"/>
          </w:tcPr>
          <w:p>
            <w:pPr>
              <w:jc w:val="center"/>
              <w:rPr>
                <w:rFonts w:hint="eastAsia" w:ascii="仿宋_GB2312" w:hAnsi="仿宋_GB2312" w:eastAsia="仿宋_GB2312" w:cs="仿宋_GB2312"/>
                <w:color w:val="auto"/>
                <w:sz w:val="32"/>
                <w:szCs w:val="32"/>
              </w:rPr>
            </w:pPr>
          </w:p>
        </w:tc>
        <w:tc>
          <w:tcPr>
            <w:tcW w:w="1965" w:type="dxa"/>
            <w:vMerge w:val="continue"/>
            <w:tcBorders>
              <w:right w:val="single" w:color="000000" w:sz="8" w:space="0"/>
            </w:tcBorders>
            <w:vAlign w:val="center"/>
          </w:tcPr>
          <w:p>
            <w:pPr>
              <w:rPr>
                <w:rFonts w:hint="eastAsia" w:ascii="仿宋_GB2312" w:hAnsi="仿宋_GB2312" w:eastAsia="仿宋_GB2312" w:cs="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5" w:type="dxa"/>
            <w:tcBorders>
              <w:lef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tc>
        <w:tc>
          <w:tcPr>
            <w:tcW w:w="1751" w:type="dxa"/>
            <w:vAlign w:val="center"/>
          </w:tcPr>
          <w:p>
            <w:pPr>
              <w:jc w:val="center"/>
              <w:rPr>
                <w:rFonts w:hint="eastAsia" w:ascii="仿宋_GB2312" w:hAnsi="仿宋_GB2312" w:eastAsia="仿宋_GB2312" w:cs="仿宋_GB2312"/>
                <w:color w:val="auto"/>
                <w:sz w:val="32"/>
                <w:szCs w:val="32"/>
              </w:rPr>
            </w:pPr>
          </w:p>
        </w:tc>
        <w:tc>
          <w:tcPr>
            <w:tcW w:w="1845" w:type="dxa"/>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    机</w:t>
            </w:r>
          </w:p>
        </w:tc>
        <w:tc>
          <w:tcPr>
            <w:tcW w:w="1813" w:type="dxa"/>
            <w:vAlign w:val="center"/>
          </w:tcPr>
          <w:p>
            <w:pPr>
              <w:jc w:val="center"/>
              <w:rPr>
                <w:rFonts w:hint="eastAsia" w:ascii="仿宋_GB2312" w:hAnsi="仿宋_GB2312" w:eastAsia="仿宋_GB2312" w:cs="仿宋_GB2312"/>
                <w:color w:val="auto"/>
                <w:sz w:val="32"/>
                <w:szCs w:val="32"/>
              </w:rPr>
            </w:pPr>
          </w:p>
        </w:tc>
        <w:tc>
          <w:tcPr>
            <w:tcW w:w="1965" w:type="dxa"/>
            <w:vMerge w:val="continue"/>
            <w:tcBorders>
              <w:right w:val="single" w:color="000000" w:sz="8" w:space="0"/>
            </w:tcBorders>
            <w:vAlign w:val="center"/>
          </w:tcPr>
          <w:p>
            <w:pPr>
              <w:rPr>
                <w:rFonts w:hint="eastAsia" w:ascii="仿宋_GB2312" w:hAnsi="仿宋_GB2312" w:eastAsia="仿宋_GB2312" w:cs="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945" w:type="dxa"/>
            <w:tcBorders>
              <w:lef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tc>
        <w:tc>
          <w:tcPr>
            <w:tcW w:w="7374" w:type="dxa"/>
            <w:gridSpan w:val="4"/>
            <w:tcBorders>
              <w:right w:val="single" w:color="000000" w:sz="8" w:space="0"/>
            </w:tcBorders>
            <w:vAlign w:val="center"/>
          </w:tcPr>
          <w:p>
            <w:pPr>
              <w:jc w:val="center"/>
              <w:rPr>
                <w:rFonts w:hint="eastAsia" w:ascii="仿宋_GB2312" w:hAnsi="仿宋_GB2312" w:eastAsia="仿宋_GB2312" w:cs="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945" w:type="dxa"/>
            <w:tcBorders>
              <w:left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联系地址</w:t>
            </w:r>
          </w:p>
        </w:tc>
        <w:tc>
          <w:tcPr>
            <w:tcW w:w="7374" w:type="dxa"/>
            <w:gridSpan w:val="4"/>
            <w:tcBorders>
              <w:right w:val="single" w:color="000000" w:sz="8" w:space="0"/>
            </w:tcBorders>
            <w:vAlign w:val="center"/>
          </w:tcPr>
          <w:p>
            <w:pPr>
              <w:jc w:val="center"/>
              <w:rPr>
                <w:rFonts w:hint="eastAsia" w:ascii="仿宋_GB2312" w:hAnsi="仿宋_GB2312" w:eastAsia="仿宋_GB2312" w:cs="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jc w:val="center"/>
        </w:trPr>
        <w:tc>
          <w:tcPr>
            <w:tcW w:w="1945" w:type="dxa"/>
            <w:tcBorders>
              <w:left w:val="single" w:color="000000" w:sz="8" w:space="0"/>
            </w:tcBorders>
            <w:vAlign w:val="center"/>
          </w:tcPr>
          <w:p>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个人简历（包括职业技能竞赛执裁经历等）</w:t>
            </w:r>
          </w:p>
        </w:tc>
        <w:tc>
          <w:tcPr>
            <w:tcW w:w="7374" w:type="dxa"/>
            <w:gridSpan w:val="4"/>
            <w:tcBorders>
              <w:right w:val="single" w:color="000000" w:sz="8" w:space="0"/>
            </w:tcBorders>
          </w:tcPr>
          <w:p>
            <w:pPr>
              <w:rPr>
                <w:rFonts w:hint="eastAsia" w:ascii="仿宋_GB2312" w:hAnsi="仿宋_GB2312" w:eastAsia="仿宋_GB2312" w:cs="仿宋_GB2312"/>
                <w:color w:val="auto"/>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jc w:val="center"/>
        </w:trPr>
        <w:tc>
          <w:tcPr>
            <w:tcW w:w="1945" w:type="dxa"/>
            <w:tcBorders>
              <w:left w:val="single" w:color="000000" w:sz="8" w:space="0"/>
              <w:bottom w:val="single" w:color="000000" w:sz="8" w:space="0"/>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所在单位意见</w:t>
            </w:r>
          </w:p>
        </w:tc>
        <w:tc>
          <w:tcPr>
            <w:tcW w:w="7374" w:type="dxa"/>
            <w:gridSpan w:val="4"/>
            <w:tcBorders>
              <w:bottom w:val="single" w:color="000000" w:sz="8" w:space="0"/>
              <w:right w:val="single" w:color="000000" w:sz="8" w:space="0"/>
            </w:tcBorders>
          </w:tcPr>
          <w:p>
            <w:pPr>
              <w:ind w:firstLine="4800" w:firstLineChars="1500"/>
              <w:rPr>
                <w:rFonts w:hint="eastAsia" w:ascii="仿宋_GB2312" w:hAnsi="仿宋_GB2312" w:eastAsia="仿宋_GB2312" w:cs="仿宋_GB2312"/>
                <w:color w:val="auto"/>
                <w:sz w:val="32"/>
                <w:szCs w:val="32"/>
              </w:rPr>
            </w:pPr>
          </w:p>
          <w:p>
            <w:pPr>
              <w:ind w:firstLine="2560" w:firstLineChars="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单位（盖章）：</w:t>
            </w:r>
          </w:p>
          <w:p>
            <w:pPr>
              <w:ind w:firstLine="2560" w:firstLineChars="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tc>
      </w:tr>
    </w:tbl>
    <w:p>
      <w:pPr>
        <w:pStyle w:val="5"/>
        <w:ind w:left="0" w:firstLine="0" w:firstLineChars="0"/>
        <w:rPr>
          <w:rFonts w:hint="default" w:ascii="Times New Roman" w:hAnsi="Times New Roman" w:cs="Times New Roman"/>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pStyle w:val="5"/>
        <w:ind w:left="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w:t>
      </w:r>
      <w:r>
        <w:rPr>
          <w:rFonts w:hint="eastAsia" w:ascii="黑体" w:hAnsi="黑体" w:eastAsia="黑体" w:cs="黑体"/>
          <w:b w:val="0"/>
          <w:bCs w:val="0"/>
          <w:sz w:val="32"/>
          <w:szCs w:val="32"/>
          <w:lang w:val="en-US" w:eastAsia="zh-CN"/>
        </w:rPr>
        <w:t>3</w:t>
      </w:r>
    </w:p>
    <w:p>
      <w:pPr>
        <w:pStyle w:val="5"/>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vertAlign w:val="baseline"/>
          <w:lang w:val="en-US" w:eastAsia="zh-CN"/>
        </w:rPr>
      </w:pPr>
      <w:r>
        <w:rPr>
          <w:rFonts w:hint="eastAsia" w:ascii="方正小标宋简体" w:hAnsi="方正小标宋简体" w:eastAsia="方正小标宋简体" w:cs="方正小标宋简体"/>
          <w:b w:val="0"/>
          <w:bCs w:val="0"/>
          <w:color w:val="auto"/>
          <w:sz w:val="44"/>
          <w:szCs w:val="44"/>
          <w:vertAlign w:val="baseline"/>
          <w:lang w:val="en-US" w:eastAsia="zh-CN"/>
        </w:rPr>
        <w:t>四川技能大赛——四川省第一届药品质量检验检测行业技能竞赛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vertAlign w:val="baseline"/>
          <w:lang w:val="en-US" w:eastAsia="zh-CN"/>
        </w:rPr>
      </w:pPr>
      <w:r>
        <w:rPr>
          <w:rFonts w:hint="eastAsia" w:ascii="方正小标宋简体" w:hAnsi="方正小标宋简体" w:eastAsia="方正小标宋简体" w:cs="方正小标宋简体"/>
          <w:b w:val="0"/>
          <w:bCs w:val="0"/>
          <w:color w:val="auto"/>
          <w:sz w:val="44"/>
          <w:szCs w:val="44"/>
          <w:vertAlign w:val="baseline"/>
          <w:lang w:val="en-US" w:eastAsia="zh-CN"/>
        </w:rPr>
        <w:t>赛项</w:t>
      </w:r>
      <w:r>
        <w:rPr>
          <w:rFonts w:hint="eastAsia" w:ascii="方正小标宋简体" w:hAnsi="方正小标宋简体" w:eastAsia="方正小标宋简体" w:cs="方正小标宋简体"/>
          <w:b w:val="0"/>
          <w:bCs w:val="0"/>
          <w:color w:val="auto"/>
          <w:sz w:val="44"/>
          <w:szCs w:val="44"/>
          <w:u w:val="single"/>
          <w:vertAlign w:val="baseline"/>
          <w:lang w:val="en-US" w:eastAsia="zh-CN"/>
        </w:rPr>
        <w:t>单位参赛选手</w:t>
      </w:r>
      <w:r>
        <w:rPr>
          <w:rFonts w:hint="eastAsia" w:ascii="方正小标宋简体" w:hAnsi="方正小标宋简体" w:eastAsia="方正小标宋简体" w:cs="方正小标宋简体"/>
          <w:b w:val="0"/>
          <w:bCs w:val="0"/>
          <w:color w:val="auto"/>
          <w:sz w:val="44"/>
          <w:szCs w:val="44"/>
          <w:vertAlign w:val="baseline"/>
          <w:lang w:val="en-US" w:eastAsia="zh-CN"/>
        </w:rPr>
        <w:t>报名汇总表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黑体" w:cs="Times New Roman"/>
          <w:b w:val="0"/>
          <w:bCs w:val="0"/>
          <w:color w:val="auto"/>
          <w:sz w:val="30"/>
          <w:szCs w:val="30"/>
          <w:lang w:eastAsia="zh-CN"/>
        </w:rPr>
      </w:pPr>
    </w:p>
    <w:p>
      <w:pPr>
        <w:rPr>
          <w:rFonts w:hint="default" w:ascii="Times New Roman" w:hAnsi="Times New Roman" w:eastAsia="黑体" w:cs="Times New Roman"/>
          <w:b w:val="0"/>
          <w:bCs w:val="0"/>
          <w:color w:val="auto"/>
          <w:sz w:val="30"/>
          <w:szCs w:val="30"/>
          <w:lang w:eastAsia="zh-CN"/>
        </w:rPr>
      </w:pPr>
      <w:r>
        <w:rPr>
          <w:rFonts w:hint="default" w:ascii="Times New Roman" w:hAnsi="Times New Roman" w:eastAsia="黑体" w:cs="Times New Roman"/>
          <w:b w:val="0"/>
          <w:bCs w:val="0"/>
          <w:color w:val="auto"/>
          <w:sz w:val="30"/>
          <w:szCs w:val="30"/>
          <w:lang w:eastAsia="zh-CN"/>
        </w:rPr>
        <w:t xml:space="preserve">领队姓名：               </w:t>
      </w:r>
      <w:r>
        <w:rPr>
          <w:rFonts w:hint="default" w:ascii="Times New Roman" w:hAnsi="Times New Roman" w:eastAsia="黑体" w:cs="Times New Roman"/>
          <w:b w:val="0"/>
          <w:bCs w:val="0"/>
          <w:color w:val="auto"/>
          <w:sz w:val="30"/>
          <w:szCs w:val="30"/>
          <w:lang w:eastAsia="zh-CN"/>
        </w:rPr>
        <w:tab/>
      </w:r>
      <w:r>
        <w:rPr>
          <w:rFonts w:hint="default" w:ascii="Times New Roman" w:hAnsi="Times New Roman" w:eastAsia="黑体" w:cs="Times New Roman"/>
          <w:b w:val="0"/>
          <w:bCs w:val="0"/>
          <w:color w:val="auto"/>
          <w:sz w:val="30"/>
          <w:szCs w:val="30"/>
          <w:lang w:eastAsia="zh-CN"/>
        </w:rPr>
        <w:t xml:space="preserve">性别：              </w:t>
      </w:r>
      <w:r>
        <w:rPr>
          <w:rFonts w:hint="default" w:ascii="Times New Roman" w:hAnsi="Times New Roman" w:eastAsia="黑体" w:cs="Times New Roman"/>
          <w:b w:val="0"/>
          <w:bCs w:val="0"/>
          <w:color w:val="auto"/>
          <w:sz w:val="30"/>
          <w:szCs w:val="30"/>
          <w:lang w:eastAsia="zh-CN"/>
        </w:rPr>
        <w:tab/>
      </w:r>
      <w:r>
        <w:rPr>
          <w:rFonts w:hint="default" w:ascii="Times New Roman" w:hAnsi="Times New Roman" w:eastAsia="黑体" w:cs="Times New Roman"/>
          <w:b w:val="0"/>
          <w:bCs w:val="0"/>
          <w:color w:val="auto"/>
          <w:sz w:val="30"/>
          <w:szCs w:val="30"/>
          <w:lang w:eastAsia="zh-CN"/>
        </w:rPr>
        <w:t>职务（岗位）：                 手机：</w:t>
      </w:r>
    </w:p>
    <w:p>
      <w:pPr>
        <w:pStyle w:val="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eastAsia="zh-CN"/>
        </w:rPr>
      </w:pPr>
    </w:p>
    <w:tbl>
      <w:tblPr>
        <w:tblStyle w:val="7"/>
        <w:tblW w:w="14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838"/>
        <w:gridCol w:w="1440"/>
        <w:gridCol w:w="767"/>
        <w:gridCol w:w="1303"/>
        <w:gridCol w:w="2485"/>
        <w:gridCol w:w="1289"/>
        <w:gridCol w:w="2199"/>
        <w:gridCol w:w="1490"/>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jc w:val="center"/>
        </w:trPr>
        <w:tc>
          <w:tcPr>
            <w:tcW w:w="602" w:type="dxa"/>
            <w:tcBorders>
              <w:top w:val="single" w:color="000000" w:sz="8" w:space="0"/>
              <w:lef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号</w:t>
            </w:r>
          </w:p>
        </w:tc>
        <w:tc>
          <w:tcPr>
            <w:tcW w:w="1838"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赛项</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lang w:val="en-US" w:eastAsia="zh-CN"/>
              </w:rPr>
              <w:t>药师/中药师</w:t>
            </w:r>
            <w:r>
              <w:rPr>
                <w:rFonts w:hint="eastAsia" w:ascii="黑体" w:hAnsi="黑体" w:eastAsia="黑体" w:cs="黑体"/>
                <w:color w:val="auto"/>
                <w:sz w:val="28"/>
                <w:szCs w:val="28"/>
                <w:highlight w:val="none"/>
                <w:lang w:eastAsia="zh-CN"/>
              </w:rPr>
              <w:t>）</w:t>
            </w:r>
          </w:p>
        </w:tc>
        <w:tc>
          <w:tcPr>
            <w:tcW w:w="1440"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姓名</w:t>
            </w:r>
          </w:p>
        </w:tc>
        <w:tc>
          <w:tcPr>
            <w:tcW w:w="767"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性别</w:t>
            </w:r>
          </w:p>
        </w:tc>
        <w:tc>
          <w:tcPr>
            <w:tcW w:w="1303"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职务</w:t>
            </w:r>
          </w:p>
        </w:tc>
        <w:tc>
          <w:tcPr>
            <w:tcW w:w="2485"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身份证号码</w:t>
            </w:r>
          </w:p>
        </w:tc>
        <w:tc>
          <w:tcPr>
            <w:tcW w:w="1289"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技能等级</w:t>
            </w:r>
            <w:r>
              <w:rPr>
                <w:rFonts w:hint="eastAsia" w:ascii="黑体" w:hAnsi="黑体" w:eastAsia="黑体" w:cs="黑体"/>
                <w:color w:val="auto"/>
                <w:sz w:val="28"/>
                <w:szCs w:val="28"/>
                <w:highlight w:val="none"/>
                <w:lang w:eastAsia="zh-CN"/>
              </w:rPr>
              <w:t>（职业资格等级）</w:t>
            </w:r>
          </w:p>
        </w:tc>
        <w:tc>
          <w:tcPr>
            <w:tcW w:w="2199"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是否具有5年工作经历及佐证材料</w:t>
            </w:r>
          </w:p>
        </w:tc>
        <w:tc>
          <w:tcPr>
            <w:tcW w:w="1490"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联系电话</w:t>
            </w:r>
          </w:p>
        </w:tc>
        <w:tc>
          <w:tcPr>
            <w:tcW w:w="956" w:type="dxa"/>
            <w:tcBorders>
              <w:top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02" w:type="dxa"/>
            <w:tcBorders>
              <w:left w:val="single" w:color="000000" w:sz="8" w:space="0"/>
            </w:tcBorders>
            <w:vAlign w:val="center"/>
          </w:tcPr>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1</w:t>
            </w:r>
          </w:p>
        </w:tc>
        <w:tc>
          <w:tcPr>
            <w:tcW w:w="1838" w:type="dxa"/>
            <w:vAlign w:val="center"/>
          </w:tcPr>
          <w:p>
            <w:pPr>
              <w:jc w:val="center"/>
              <w:rPr>
                <w:rFonts w:hint="eastAsia" w:ascii="黑体" w:hAnsi="黑体" w:eastAsia="黑体" w:cs="黑体"/>
                <w:color w:val="auto"/>
                <w:sz w:val="30"/>
                <w:szCs w:val="30"/>
              </w:rPr>
            </w:pPr>
          </w:p>
        </w:tc>
        <w:tc>
          <w:tcPr>
            <w:tcW w:w="1440" w:type="dxa"/>
            <w:vAlign w:val="center"/>
          </w:tcPr>
          <w:p>
            <w:pPr>
              <w:jc w:val="center"/>
              <w:rPr>
                <w:rFonts w:hint="eastAsia" w:ascii="黑体" w:hAnsi="黑体" w:eastAsia="黑体" w:cs="黑体"/>
                <w:color w:val="auto"/>
                <w:sz w:val="30"/>
                <w:szCs w:val="30"/>
              </w:rPr>
            </w:pPr>
          </w:p>
        </w:tc>
        <w:tc>
          <w:tcPr>
            <w:tcW w:w="767" w:type="dxa"/>
            <w:vAlign w:val="center"/>
          </w:tcPr>
          <w:p>
            <w:pPr>
              <w:jc w:val="center"/>
              <w:rPr>
                <w:rFonts w:hint="eastAsia" w:ascii="黑体" w:hAnsi="黑体" w:eastAsia="黑体" w:cs="黑体"/>
                <w:color w:val="auto"/>
                <w:sz w:val="30"/>
                <w:szCs w:val="30"/>
              </w:rPr>
            </w:pPr>
          </w:p>
        </w:tc>
        <w:tc>
          <w:tcPr>
            <w:tcW w:w="1303" w:type="dxa"/>
            <w:vAlign w:val="center"/>
          </w:tcPr>
          <w:p>
            <w:pPr>
              <w:jc w:val="center"/>
              <w:rPr>
                <w:rFonts w:hint="eastAsia" w:ascii="黑体" w:hAnsi="黑体" w:eastAsia="黑体" w:cs="黑体"/>
                <w:color w:val="auto"/>
                <w:sz w:val="30"/>
                <w:szCs w:val="30"/>
              </w:rPr>
            </w:pPr>
          </w:p>
        </w:tc>
        <w:tc>
          <w:tcPr>
            <w:tcW w:w="2485" w:type="dxa"/>
            <w:vAlign w:val="center"/>
          </w:tcPr>
          <w:p>
            <w:pPr>
              <w:jc w:val="center"/>
              <w:rPr>
                <w:rFonts w:hint="eastAsia" w:ascii="黑体" w:hAnsi="黑体" w:eastAsia="黑体" w:cs="黑体"/>
                <w:color w:val="auto"/>
                <w:sz w:val="30"/>
                <w:szCs w:val="30"/>
              </w:rPr>
            </w:pPr>
          </w:p>
        </w:tc>
        <w:tc>
          <w:tcPr>
            <w:tcW w:w="1289" w:type="dxa"/>
            <w:vAlign w:val="center"/>
          </w:tcPr>
          <w:p>
            <w:pPr>
              <w:jc w:val="center"/>
              <w:rPr>
                <w:rFonts w:hint="eastAsia" w:ascii="黑体" w:hAnsi="黑体" w:eastAsia="黑体" w:cs="黑体"/>
                <w:color w:val="auto"/>
                <w:sz w:val="30"/>
                <w:szCs w:val="30"/>
              </w:rPr>
            </w:pPr>
          </w:p>
        </w:tc>
        <w:tc>
          <w:tcPr>
            <w:tcW w:w="2199" w:type="dxa"/>
            <w:vAlign w:val="center"/>
          </w:tcPr>
          <w:p>
            <w:pPr>
              <w:jc w:val="center"/>
              <w:rPr>
                <w:rFonts w:hint="eastAsia" w:ascii="黑体" w:hAnsi="黑体" w:eastAsia="黑体" w:cs="黑体"/>
                <w:color w:val="auto"/>
                <w:sz w:val="30"/>
                <w:szCs w:val="30"/>
              </w:rPr>
            </w:pPr>
          </w:p>
        </w:tc>
        <w:tc>
          <w:tcPr>
            <w:tcW w:w="1490" w:type="dxa"/>
            <w:vAlign w:val="center"/>
          </w:tcPr>
          <w:p>
            <w:pPr>
              <w:jc w:val="center"/>
              <w:rPr>
                <w:rFonts w:hint="eastAsia" w:ascii="黑体" w:hAnsi="黑体" w:eastAsia="黑体" w:cs="黑体"/>
                <w:color w:val="auto"/>
                <w:sz w:val="30"/>
                <w:szCs w:val="30"/>
              </w:rPr>
            </w:pPr>
          </w:p>
        </w:tc>
        <w:tc>
          <w:tcPr>
            <w:tcW w:w="956" w:type="dxa"/>
            <w:vAlign w:val="center"/>
          </w:tcPr>
          <w:p>
            <w:pPr>
              <w:jc w:val="center"/>
              <w:rPr>
                <w:rFonts w:hint="eastAsia" w:ascii="黑体" w:hAnsi="黑体" w:eastAsia="黑体" w:cs="黑体"/>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02" w:type="dxa"/>
            <w:tcBorders>
              <w:left w:val="single" w:color="000000" w:sz="8" w:space="0"/>
            </w:tcBorders>
            <w:vAlign w:val="center"/>
          </w:tcPr>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2</w:t>
            </w:r>
          </w:p>
        </w:tc>
        <w:tc>
          <w:tcPr>
            <w:tcW w:w="1838" w:type="dxa"/>
            <w:vAlign w:val="center"/>
          </w:tcPr>
          <w:p>
            <w:pPr>
              <w:jc w:val="center"/>
              <w:rPr>
                <w:rFonts w:hint="eastAsia" w:ascii="黑体" w:hAnsi="黑体" w:eastAsia="黑体" w:cs="黑体"/>
                <w:color w:val="auto"/>
                <w:sz w:val="30"/>
                <w:szCs w:val="30"/>
              </w:rPr>
            </w:pPr>
          </w:p>
        </w:tc>
        <w:tc>
          <w:tcPr>
            <w:tcW w:w="1440" w:type="dxa"/>
            <w:vAlign w:val="center"/>
          </w:tcPr>
          <w:p>
            <w:pPr>
              <w:jc w:val="center"/>
              <w:rPr>
                <w:rFonts w:hint="eastAsia" w:ascii="黑体" w:hAnsi="黑体" w:eastAsia="黑体" w:cs="黑体"/>
                <w:color w:val="auto"/>
                <w:sz w:val="30"/>
                <w:szCs w:val="30"/>
              </w:rPr>
            </w:pPr>
          </w:p>
        </w:tc>
        <w:tc>
          <w:tcPr>
            <w:tcW w:w="767" w:type="dxa"/>
            <w:vAlign w:val="center"/>
          </w:tcPr>
          <w:p>
            <w:pPr>
              <w:jc w:val="center"/>
              <w:rPr>
                <w:rFonts w:hint="eastAsia" w:ascii="黑体" w:hAnsi="黑体" w:eastAsia="黑体" w:cs="黑体"/>
                <w:color w:val="auto"/>
                <w:sz w:val="30"/>
                <w:szCs w:val="30"/>
              </w:rPr>
            </w:pPr>
          </w:p>
        </w:tc>
        <w:tc>
          <w:tcPr>
            <w:tcW w:w="1303" w:type="dxa"/>
            <w:vAlign w:val="center"/>
          </w:tcPr>
          <w:p>
            <w:pPr>
              <w:jc w:val="center"/>
              <w:rPr>
                <w:rFonts w:hint="eastAsia" w:ascii="黑体" w:hAnsi="黑体" w:eastAsia="黑体" w:cs="黑体"/>
                <w:color w:val="auto"/>
                <w:sz w:val="30"/>
                <w:szCs w:val="30"/>
              </w:rPr>
            </w:pPr>
          </w:p>
        </w:tc>
        <w:tc>
          <w:tcPr>
            <w:tcW w:w="2485" w:type="dxa"/>
            <w:vAlign w:val="center"/>
          </w:tcPr>
          <w:p>
            <w:pPr>
              <w:jc w:val="center"/>
              <w:rPr>
                <w:rFonts w:hint="eastAsia" w:ascii="黑体" w:hAnsi="黑体" w:eastAsia="黑体" w:cs="黑体"/>
                <w:color w:val="auto"/>
                <w:sz w:val="30"/>
                <w:szCs w:val="30"/>
              </w:rPr>
            </w:pPr>
          </w:p>
        </w:tc>
        <w:tc>
          <w:tcPr>
            <w:tcW w:w="1289" w:type="dxa"/>
            <w:vAlign w:val="center"/>
          </w:tcPr>
          <w:p>
            <w:pPr>
              <w:jc w:val="center"/>
              <w:rPr>
                <w:rFonts w:hint="eastAsia" w:ascii="黑体" w:hAnsi="黑体" w:eastAsia="黑体" w:cs="黑体"/>
                <w:color w:val="auto"/>
                <w:sz w:val="30"/>
                <w:szCs w:val="30"/>
              </w:rPr>
            </w:pPr>
          </w:p>
        </w:tc>
        <w:tc>
          <w:tcPr>
            <w:tcW w:w="2199" w:type="dxa"/>
            <w:vAlign w:val="center"/>
          </w:tcPr>
          <w:p>
            <w:pPr>
              <w:jc w:val="center"/>
              <w:rPr>
                <w:rFonts w:hint="eastAsia" w:ascii="黑体" w:hAnsi="黑体" w:eastAsia="黑体" w:cs="黑体"/>
                <w:color w:val="auto"/>
                <w:sz w:val="30"/>
                <w:szCs w:val="30"/>
              </w:rPr>
            </w:pPr>
          </w:p>
        </w:tc>
        <w:tc>
          <w:tcPr>
            <w:tcW w:w="1490" w:type="dxa"/>
            <w:vAlign w:val="center"/>
          </w:tcPr>
          <w:p>
            <w:pPr>
              <w:jc w:val="center"/>
              <w:rPr>
                <w:rFonts w:hint="eastAsia" w:ascii="黑体" w:hAnsi="黑体" w:eastAsia="黑体" w:cs="黑体"/>
                <w:color w:val="auto"/>
                <w:sz w:val="30"/>
                <w:szCs w:val="30"/>
              </w:rPr>
            </w:pPr>
          </w:p>
        </w:tc>
        <w:tc>
          <w:tcPr>
            <w:tcW w:w="956" w:type="dxa"/>
            <w:vAlign w:val="center"/>
          </w:tcPr>
          <w:p>
            <w:pPr>
              <w:jc w:val="center"/>
              <w:rPr>
                <w:rFonts w:hint="eastAsia" w:ascii="黑体" w:hAnsi="黑体" w:eastAsia="黑体" w:cs="黑体"/>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02" w:type="dxa"/>
            <w:tcBorders>
              <w:left w:val="single" w:color="000000" w:sz="8" w:space="0"/>
            </w:tcBorders>
            <w:vAlign w:val="center"/>
          </w:tcPr>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3</w:t>
            </w:r>
          </w:p>
        </w:tc>
        <w:tc>
          <w:tcPr>
            <w:tcW w:w="1838" w:type="dxa"/>
            <w:vAlign w:val="center"/>
          </w:tcPr>
          <w:p>
            <w:pPr>
              <w:jc w:val="center"/>
              <w:rPr>
                <w:rFonts w:hint="eastAsia" w:ascii="黑体" w:hAnsi="黑体" w:eastAsia="黑体" w:cs="黑体"/>
                <w:color w:val="auto"/>
                <w:sz w:val="30"/>
                <w:szCs w:val="30"/>
              </w:rPr>
            </w:pPr>
          </w:p>
        </w:tc>
        <w:tc>
          <w:tcPr>
            <w:tcW w:w="1440" w:type="dxa"/>
            <w:vAlign w:val="center"/>
          </w:tcPr>
          <w:p>
            <w:pPr>
              <w:jc w:val="center"/>
              <w:rPr>
                <w:rFonts w:hint="eastAsia" w:ascii="黑体" w:hAnsi="黑体" w:eastAsia="黑体" w:cs="黑体"/>
                <w:color w:val="auto"/>
                <w:sz w:val="30"/>
                <w:szCs w:val="30"/>
              </w:rPr>
            </w:pPr>
          </w:p>
        </w:tc>
        <w:tc>
          <w:tcPr>
            <w:tcW w:w="767" w:type="dxa"/>
            <w:vAlign w:val="center"/>
          </w:tcPr>
          <w:p>
            <w:pPr>
              <w:jc w:val="center"/>
              <w:rPr>
                <w:rFonts w:hint="eastAsia" w:ascii="黑体" w:hAnsi="黑体" w:eastAsia="黑体" w:cs="黑体"/>
                <w:color w:val="auto"/>
                <w:sz w:val="30"/>
                <w:szCs w:val="30"/>
              </w:rPr>
            </w:pPr>
          </w:p>
        </w:tc>
        <w:tc>
          <w:tcPr>
            <w:tcW w:w="1303" w:type="dxa"/>
            <w:vAlign w:val="center"/>
          </w:tcPr>
          <w:p>
            <w:pPr>
              <w:jc w:val="center"/>
              <w:rPr>
                <w:rFonts w:hint="eastAsia" w:ascii="黑体" w:hAnsi="黑体" w:eastAsia="黑体" w:cs="黑体"/>
                <w:color w:val="auto"/>
                <w:sz w:val="30"/>
                <w:szCs w:val="30"/>
              </w:rPr>
            </w:pPr>
          </w:p>
        </w:tc>
        <w:tc>
          <w:tcPr>
            <w:tcW w:w="2485" w:type="dxa"/>
            <w:vAlign w:val="center"/>
          </w:tcPr>
          <w:p>
            <w:pPr>
              <w:jc w:val="center"/>
              <w:rPr>
                <w:rFonts w:hint="eastAsia" w:ascii="黑体" w:hAnsi="黑体" w:eastAsia="黑体" w:cs="黑体"/>
                <w:color w:val="auto"/>
                <w:sz w:val="30"/>
                <w:szCs w:val="30"/>
              </w:rPr>
            </w:pPr>
          </w:p>
        </w:tc>
        <w:tc>
          <w:tcPr>
            <w:tcW w:w="1289" w:type="dxa"/>
            <w:vAlign w:val="center"/>
          </w:tcPr>
          <w:p>
            <w:pPr>
              <w:jc w:val="center"/>
              <w:rPr>
                <w:rFonts w:hint="eastAsia" w:ascii="黑体" w:hAnsi="黑体" w:eastAsia="黑体" w:cs="黑体"/>
                <w:color w:val="auto"/>
                <w:sz w:val="30"/>
                <w:szCs w:val="30"/>
              </w:rPr>
            </w:pPr>
          </w:p>
        </w:tc>
        <w:tc>
          <w:tcPr>
            <w:tcW w:w="2199" w:type="dxa"/>
            <w:vAlign w:val="center"/>
          </w:tcPr>
          <w:p>
            <w:pPr>
              <w:jc w:val="center"/>
              <w:rPr>
                <w:rFonts w:hint="eastAsia" w:ascii="黑体" w:hAnsi="黑体" w:eastAsia="黑体" w:cs="黑体"/>
                <w:color w:val="auto"/>
                <w:sz w:val="30"/>
                <w:szCs w:val="30"/>
              </w:rPr>
            </w:pPr>
          </w:p>
        </w:tc>
        <w:tc>
          <w:tcPr>
            <w:tcW w:w="1490" w:type="dxa"/>
            <w:vAlign w:val="center"/>
          </w:tcPr>
          <w:p>
            <w:pPr>
              <w:jc w:val="center"/>
              <w:rPr>
                <w:rFonts w:hint="eastAsia" w:ascii="黑体" w:hAnsi="黑体" w:eastAsia="黑体" w:cs="黑体"/>
                <w:color w:val="auto"/>
                <w:sz w:val="30"/>
                <w:szCs w:val="30"/>
              </w:rPr>
            </w:pPr>
          </w:p>
        </w:tc>
        <w:tc>
          <w:tcPr>
            <w:tcW w:w="956" w:type="dxa"/>
            <w:vAlign w:val="center"/>
          </w:tcPr>
          <w:p>
            <w:pPr>
              <w:jc w:val="center"/>
              <w:rPr>
                <w:rFonts w:hint="eastAsia" w:ascii="黑体" w:hAnsi="黑体" w:eastAsia="黑体" w:cs="黑体"/>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602" w:type="dxa"/>
            <w:tcBorders>
              <w:left w:val="single" w:color="000000" w:sz="8" w:space="0"/>
            </w:tcBorders>
            <w:vAlign w:val="center"/>
          </w:tcPr>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4</w:t>
            </w:r>
          </w:p>
        </w:tc>
        <w:tc>
          <w:tcPr>
            <w:tcW w:w="1838" w:type="dxa"/>
            <w:vAlign w:val="center"/>
          </w:tcPr>
          <w:p>
            <w:pPr>
              <w:jc w:val="center"/>
              <w:rPr>
                <w:rFonts w:hint="eastAsia" w:ascii="黑体" w:hAnsi="黑体" w:eastAsia="黑体" w:cs="黑体"/>
                <w:color w:val="auto"/>
                <w:sz w:val="30"/>
                <w:szCs w:val="30"/>
              </w:rPr>
            </w:pPr>
          </w:p>
        </w:tc>
        <w:tc>
          <w:tcPr>
            <w:tcW w:w="1440" w:type="dxa"/>
            <w:vAlign w:val="center"/>
          </w:tcPr>
          <w:p>
            <w:pPr>
              <w:jc w:val="center"/>
              <w:rPr>
                <w:rFonts w:hint="eastAsia" w:ascii="黑体" w:hAnsi="黑体" w:eastAsia="黑体" w:cs="黑体"/>
                <w:color w:val="auto"/>
                <w:sz w:val="30"/>
                <w:szCs w:val="30"/>
              </w:rPr>
            </w:pPr>
          </w:p>
        </w:tc>
        <w:tc>
          <w:tcPr>
            <w:tcW w:w="767" w:type="dxa"/>
            <w:vAlign w:val="center"/>
          </w:tcPr>
          <w:p>
            <w:pPr>
              <w:jc w:val="center"/>
              <w:rPr>
                <w:rFonts w:hint="eastAsia" w:ascii="黑体" w:hAnsi="黑体" w:eastAsia="黑体" w:cs="黑体"/>
                <w:color w:val="auto"/>
                <w:sz w:val="30"/>
                <w:szCs w:val="30"/>
              </w:rPr>
            </w:pPr>
          </w:p>
        </w:tc>
        <w:tc>
          <w:tcPr>
            <w:tcW w:w="1303" w:type="dxa"/>
            <w:vAlign w:val="center"/>
          </w:tcPr>
          <w:p>
            <w:pPr>
              <w:jc w:val="center"/>
              <w:rPr>
                <w:rFonts w:hint="eastAsia" w:ascii="黑体" w:hAnsi="黑体" w:eastAsia="黑体" w:cs="黑体"/>
                <w:color w:val="auto"/>
                <w:sz w:val="30"/>
                <w:szCs w:val="30"/>
              </w:rPr>
            </w:pPr>
          </w:p>
        </w:tc>
        <w:tc>
          <w:tcPr>
            <w:tcW w:w="2485" w:type="dxa"/>
            <w:vAlign w:val="center"/>
          </w:tcPr>
          <w:p>
            <w:pPr>
              <w:jc w:val="center"/>
              <w:rPr>
                <w:rFonts w:hint="eastAsia" w:ascii="黑体" w:hAnsi="黑体" w:eastAsia="黑体" w:cs="黑体"/>
                <w:color w:val="auto"/>
                <w:sz w:val="30"/>
                <w:szCs w:val="30"/>
              </w:rPr>
            </w:pPr>
          </w:p>
        </w:tc>
        <w:tc>
          <w:tcPr>
            <w:tcW w:w="1289" w:type="dxa"/>
            <w:vAlign w:val="center"/>
          </w:tcPr>
          <w:p>
            <w:pPr>
              <w:jc w:val="center"/>
              <w:rPr>
                <w:rFonts w:hint="eastAsia" w:ascii="黑体" w:hAnsi="黑体" w:eastAsia="黑体" w:cs="黑体"/>
                <w:color w:val="auto"/>
                <w:sz w:val="30"/>
                <w:szCs w:val="30"/>
              </w:rPr>
            </w:pPr>
          </w:p>
        </w:tc>
        <w:tc>
          <w:tcPr>
            <w:tcW w:w="2199" w:type="dxa"/>
            <w:vAlign w:val="center"/>
          </w:tcPr>
          <w:p>
            <w:pPr>
              <w:jc w:val="center"/>
              <w:rPr>
                <w:rFonts w:hint="eastAsia" w:ascii="黑体" w:hAnsi="黑体" w:eastAsia="黑体" w:cs="黑体"/>
                <w:color w:val="auto"/>
                <w:sz w:val="30"/>
                <w:szCs w:val="30"/>
              </w:rPr>
            </w:pPr>
          </w:p>
        </w:tc>
        <w:tc>
          <w:tcPr>
            <w:tcW w:w="1490" w:type="dxa"/>
            <w:vAlign w:val="center"/>
          </w:tcPr>
          <w:p>
            <w:pPr>
              <w:jc w:val="center"/>
              <w:rPr>
                <w:rFonts w:hint="eastAsia" w:ascii="黑体" w:hAnsi="黑体" w:eastAsia="黑体" w:cs="黑体"/>
                <w:color w:val="auto"/>
                <w:sz w:val="30"/>
                <w:szCs w:val="30"/>
              </w:rPr>
            </w:pPr>
          </w:p>
        </w:tc>
        <w:tc>
          <w:tcPr>
            <w:tcW w:w="956" w:type="dxa"/>
            <w:vAlign w:val="center"/>
          </w:tcPr>
          <w:p>
            <w:pPr>
              <w:jc w:val="center"/>
              <w:rPr>
                <w:rFonts w:hint="eastAsia" w:ascii="黑体" w:hAnsi="黑体" w:eastAsia="黑体" w:cs="黑体"/>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02" w:type="dxa"/>
            <w:tcBorders>
              <w:left w:val="single" w:color="000000" w:sz="8" w:space="0"/>
            </w:tcBorders>
            <w:vAlign w:val="center"/>
          </w:tcPr>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5</w:t>
            </w:r>
          </w:p>
        </w:tc>
        <w:tc>
          <w:tcPr>
            <w:tcW w:w="1838" w:type="dxa"/>
            <w:vAlign w:val="center"/>
          </w:tcPr>
          <w:p>
            <w:pPr>
              <w:jc w:val="center"/>
              <w:rPr>
                <w:rFonts w:hint="eastAsia" w:ascii="黑体" w:hAnsi="黑体" w:eastAsia="黑体" w:cs="黑体"/>
                <w:color w:val="auto"/>
                <w:sz w:val="30"/>
                <w:szCs w:val="30"/>
              </w:rPr>
            </w:pPr>
          </w:p>
        </w:tc>
        <w:tc>
          <w:tcPr>
            <w:tcW w:w="1440" w:type="dxa"/>
            <w:vAlign w:val="center"/>
          </w:tcPr>
          <w:p>
            <w:pPr>
              <w:jc w:val="center"/>
              <w:rPr>
                <w:rFonts w:hint="eastAsia" w:ascii="黑体" w:hAnsi="黑体" w:eastAsia="黑体" w:cs="黑体"/>
                <w:color w:val="auto"/>
                <w:sz w:val="30"/>
                <w:szCs w:val="30"/>
              </w:rPr>
            </w:pPr>
          </w:p>
        </w:tc>
        <w:tc>
          <w:tcPr>
            <w:tcW w:w="767" w:type="dxa"/>
            <w:vAlign w:val="center"/>
          </w:tcPr>
          <w:p>
            <w:pPr>
              <w:jc w:val="center"/>
              <w:rPr>
                <w:rFonts w:hint="eastAsia" w:ascii="黑体" w:hAnsi="黑体" w:eastAsia="黑体" w:cs="黑体"/>
                <w:color w:val="auto"/>
                <w:sz w:val="30"/>
                <w:szCs w:val="30"/>
              </w:rPr>
            </w:pPr>
          </w:p>
        </w:tc>
        <w:tc>
          <w:tcPr>
            <w:tcW w:w="1303" w:type="dxa"/>
            <w:vAlign w:val="center"/>
          </w:tcPr>
          <w:p>
            <w:pPr>
              <w:jc w:val="center"/>
              <w:rPr>
                <w:rFonts w:hint="eastAsia" w:ascii="黑体" w:hAnsi="黑体" w:eastAsia="黑体" w:cs="黑体"/>
                <w:color w:val="auto"/>
                <w:sz w:val="30"/>
                <w:szCs w:val="30"/>
              </w:rPr>
            </w:pPr>
          </w:p>
        </w:tc>
        <w:tc>
          <w:tcPr>
            <w:tcW w:w="2485" w:type="dxa"/>
            <w:vAlign w:val="center"/>
          </w:tcPr>
          <w:p>
            <w:pPr>
              <w:jc w:val="center"/>
              <w:rPr>
                <w:rFonts w:hint="eastAsia" w:ascii="黑体" w:hAnsi="黑体" w:eastAsia="黑体" w:cs="黑体"/>
                <w:color w:val="auto"/>
                <w:sz w:val="30"/>
                <w:szCs w:val="30"/>
              </w:rPr>
            </w:pPr>
          </w:p>
        </w:tc>
        <w:tc>
          <w:tcPr>
            <w:tcW w:w="1289" w:type="dxa"/>
            <w:vAlign w:val="center"/>
          </w:tcPr>
          <w:p>
            <w:pPr>
              <w:jc w:val="center"/>
              <w:rPr>
                <w:rFonts w:hint="eastAsia" w:ascii="黑体" w:hAnsi="黑体" w:eastAsia="黑体" w:cs="黑体"/>
                <w:color w:val="auto"/>
                <w:sz w:val="30"/>
                <w:szCs w:val="30"/>
              </w:rPr>
            </w:pPr>
          </w:p>
        </w:tc>
        <w:tc>
          <w:tcPr>
            <w:tcW w:w="2199" w:type="dxa"/>
            <w:vAlign w:val="center"/>
          </w:tcPr>
          <w:p>
            <w:pPr>
              <w:jc w:val="center"/>
              <w:rPr>
                <w:rFonts w:hint="eastAsia" w:ascii="黑体" w:hAnsi="黑体" w:eastAsia="黑体" w:cs="黑体"/>
                <w:color w:val="auto"/>
                <w:sz w:val="30"/>
                <w:szCs w:val="30"/>
              </w:rPr>
            </w:pPr>
          </w:p>
        </w:tc>
        <w:tc>
          <w:tcPr>
            <w:tcW w:w="1490" w:type="dxa"/>
            <w:vAlign w:val="center"/>
          </w:tcPr>
          <w:p>
            <w:pPr>
              <w:jc w:val="center"/>
              <w:rPr>
                <w:rFonts w:hint="eastAsia" w:ascii="黑体" w:hAnsi="黑体" w:eastAsia="黑体" w:cs="黑体"/>
                <w:color w:val="auto"/>
                <w:sz w:val="30"/>
                <w:szCs w:val="30"/>
              </w:rPr>
            </w:pPr>
          </w:p>
        </w:tc>
        <w:tc>
          <w:tcPr>
            <w:tcW w:w="956" w:type="dxa"/>
            <w:vAlign w:val="center"/>
          </w:tcPr>
          <w:p>
            <w:pPr>
              <w:jc w:val="center"/>
              <w:rPr>
                <w:rFonts w:hint="eastAsia" w:ascii="黑体" w:hAnsi="黑体" w:eastAsia="黑体" w:cs="黑体"/>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02" w:type="dxa"/>
            <w:tcBorders>
              <w:left w:val="single" w:color="000000" w:sz="8" w:space="0"/>
            </w:tcBorders>
            <w:vAlign w:val="center"/>
          </w:tcPr>
          <w:p>
            <w:pPr>
              <w:jc w:val="center"/>
              <w:rPr>
                <w:rFonts w:hint="eastAsia" w:ascii="黑体" w:hAnsi="黑体" w:eastAsia="黑体" w:cs="黑体"/>
                <w:color w:val="auto"/>
                <w:sz w:val="30"/>
                <w:szCs w:val="30"/>
              </w:rPr>
            </w:pPr>
            <w:r>
              <w:rPr>
                <w:rFonts w:hint="eastAsia" w:ascii="黑体" w:hAnsi="黑体" w:eastAsia="黑体" w:cs="黑体"/>
                <w:color w:val="auto"/>
                <w:sz w:val="30"/>
                <w:szCs w:val="30"/>
              </w:rPr>
              <w:t>6</w:t>
            </w:r>
          </w:p>
        </w:tc>
        <w:tc>
          <w:tcPr>
            <w:tcW w:w="1838" w:type="dxa"/>
            <w:vAlign w:val="center"/>
          </w:tcPr>
          <w:p>
            <w:pPr>
              <w:jc w:val="center"/>
              <w:rPr>
                <w:rFonts w:hint="eastAsia" w:ascii="黑体" w:hAnsi="黑体" w:eastAsia="黑体" w:cs="黑体"/>
                <w:color w:val="auto"/>
                <w:sz w:val="30"/>
                <w:szCs w:val="30"/>
              </w:rPr>
            </w:pPr>
          </w:p>
        </w:tc>
        <w:tc>
          <w:tcPr>
            <w:tcW w:w="1440" w:type="dxa"/>
            <w:vAlign w:val="center"/>
          </w:tcPr>
          <w:p>
            <w:pPr>
              <w:jc w:val="center"/>
              <w:rPr>
                <w:rFonts w:hint="eastAsia" w:ascii="黑体" w:hAnsi="黑体" w:eastAsia="黑体" w:cs="黑体"/>
                <w:color w:val="auto"/>
                <w:sz w:val="30"/>
                <w:szCs w:val="30"/>
              </w:rPr>
            </w:pPr>
          </w:p>
        </w:tc>
        <w:tc>
          <w:tcPr>
            <w:tcW w:w="767" w:type="dxa"/>
            <w:vAlign w:val="center"/>
          </w:tcPr>
          <w:p>
            <w:pPr>
              <w:jc w:val="center"/>
              <w:rPr>
                <w:rFonts w:hint="eastAsia" w:ascii="黑体" w:hAnsi="黑体" w:eastAsia="黑体" w:cs="黑体"/>
                <w:color w:val="auto"/>
                <w:sz w:val="30"/>
                <w:szCs w:val="30"/>
              </w:rPr>
            </w:pPr>
          </w:p>
        </w:tc>
        <w:tc>
          <w:tcPr>
            <w:tcW w:w="1303" w:type="dxa"/>
            <w:vAlign w:val="center"/>
          </w:tcPr>
          <w:p>
            <w:pPr>
              <w:jc w:val="center"/>
              <w:rPr>
                <w:rFonts w:hint="eastAsia" w:ascii="黑体" w:hAnsi="黑体" w:eastAsia="黑体" w:cs="黑体"/>
                <w:color w:val="auto"/>
                <w:sz w:val="30"/>
                <w:szCs w:val="30"/>
              </w:rPr>
            </w:pPr>
          </w:p>
        </w:tc>
        <w:tc>
          <w:tcPr>
            <w:tcW w:w="2485" w:type="dxa"/>
            <w:vAlign w:val="center"/>
          </w:tcPr>
          <w:p>
            <w:pPr>
              <w:jc w:val="center"/>
              <w:rPr>
                <w:rFonts w:hint="eastAsia" w:ascii="黑体" w:hAnsi="黑体" w:eastAsia="黑体" w:cs="黑体"/>
                <w:color w:val="auto"/>
                <w:sz w:val="30"/>
                <w:szCs w:val="30"/>
              </w:rPr>
            </w:pPr>
          </w:p>
        </w:tc>
        <w:tc>
          <w:tcPr>
            <w:tcW w:w="1289" w:type="dxa"/>
            <w:vAlign w:val="center"/>
          </w:tcPr>
          <w:p>
            <w:pPr>
              <w:jc w:val="center"/>
              <w:rPr>
                <w:rFonts w:hint="eastAsia" w:ascii="黑体" w:hAnsi="黑体" w:eastAsia="黑体" w:cs="黑体"/>
                <w:color w:val="auto"/>
                <w:sz w:val="30"/>
                <w:szCs w:val="30"/>
              </w:rPr>
            </w:pPr>
          </w:p>
        </w:tc>
        <w:tc>
          <w:tcPr>
            <w:tcW w:w="2199" w:type="dxa"/>
            <w:vAlign w:val="center"/>
          </w:tcPr>
          <w:p>
            <w:pPr>
              <w:jc w:val="center"/>
              <w:rPr>
                <w:rFonts w:hint="eastAsia" w:ascii="黑体" w:hAnsi="黑体" w:eastAsia="黑体" w:cs="黑体"/>
                <w:color w:val="auto"/>
                <w:sz w:val="30"/>
                <w:szCs w:val="30"/>
              </w:rPr>
            </w:pPr>
          </w:p>
        </w:tc>
        <w:tc>
          <w:tcPr>
            <w:tcW w:w="1490" w:type="dxa"/>
            <w:vAlign w:val="center"/>
          </w:tcPr>
          <w:p>
            <w:pPr>
              <w:jc w:val="center"/>
              <w:rPr>
                <w:rFonts w:hint="eastAsia" w:ascii="黑体" w:hAnsi="黑体" w:eastAsia="黑体" w:cs="黑体"/>
                <w:color w:val="auto"/>
                <w:sz w:val="30"/>
                <w:szCs w:val="30"/>
              </w:rPr>
            </w:pPr>
          </w:p>
        </w:tc>
        <w:tc>
          <w:tcPr>
            <w:tcW w:w="956" w:type="dxa"/>
            <w:vAlign w:val="center"/>
          </w:tcPr>
          <w:p>
            <w:pPr>
              <w:jc w:val="center"/>
              <w:rPr>
                <w:rFonts w:hint="eastAsia" w:ascii="黑体" w:hAnsi="黑体" w:eastAsia="黑体" w:cs="黑体"/>
                <w:color w:val="auto"/>
                <w:sz w:val="30"/>
                <w:szCs w:val="30"/>
              </w:rPr>
            </w:pPr>
          </w:p>
        </w:tc>
      </w:tr>
    </w:tbl>
    <w:p>
      <w:pPr>
        <w:ind w:firstLine="1686" w:firstLineChars="700"/>
        <w:rPr>
          <w:rFonts w:hint="default" w:ascii="Times New Roman" w:hAnsi="Times New Roman" w:eastAsia="宋体" w:cs="Times New Roman"/>
          <w:b/>
          <w:bCs/>
          <w:color w:val="auto"/>
          <w:sz w:val="24"/>
          <w:szCs w:val="24"/>
        </w:rPr>
      </w:pPr>
    </w:p>
    <w:p>
      <w:pPr>
        <w:ind w:firstLine="240" w:firstLineChars="100"/>
        <w:rPr>
          <w:rFonts w:hint="eastAsia" w:ascii="黑体" w:hAnsi="黑体" w:eastAsia="黑体" w:cs="黑体"/>
          <w:sz w:val="32"/>
          <w:szCs w:val="32"/>
          <w:lang w:val="en-US" w:eastAsia="zh-CN"/>
        </w:rPr>
      </w:pPr>
      <w:r>
        <w:rPr>
          <w:rFonts w:hint="default" w:ascii="Times New Roman" w:hAnsi="Times New Roman" w:eastAsia="黑体" w:cs="Times New Roman"/>
          <w:b w:val="0"/>
          <w:bCs w:val="0"/>
          <w:color w:val="auto"/>
          <w:sz w:val="24"/>
          <w:szCs w:val="24"/>
        </w:rPr>
        <w:t>参赛代表队（盖章）：</w:t>
      </w:r>
    </w:p>
    <w:sectPr>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魏碑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PAGE   \* MERGEFORMAT</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jc w:val="cente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PAGE   \* MERGEFORMAT</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fldChar w:fldCharType="end"/>
                    </w:r>
                  </w:p>
                </w:txbxContent>
              </v:textbox>
            </v:shape>
          </w:pict>
        </mc:Fallback>
      </mc:AlternateContent>
    </w:r>
  </w:p>
  <w:p>
    <w:pPr>
      <w:spacing w:line="178" w:lineRule="auto"/>
      <w:ind w:left="4244"/>
      <w:rPr>
        <w:rFonts w:ascii="等线" w:eastAsia="等线" w:cs="等线"/>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2D73A"/>
    <w:multiLevelType w:val="singleLevel"/>
    <w:tmpl w:val="DB52D73A"/>
    <w:lvl w:ilvl="0" w:tentative="0">
      <w:start w:val="1"/>
      <w:numFmt w:val="chineseCounting"/>
      <w:suff w:val="nothing"/>
      <w:lvlText w:val="（%1）"/>
      <w:lvlJc w:val="left"/>
      <w:pPr>
        <w:ind w:left="0" w:firstLine="420"/>
      </w:pPr>
      <w:rPr>
        <w:rFonts w:hint="eastAsia"/>
      </w:rPr>
    </w:lvl>
  </w:abstractNum>
  <w:abstractNum w:abstractNumId="1">
    <w:nsid w:val="16A85ED1"/>
    <w:multiLevelType w:val="singleLevel"/>
    <w:tmpl w:val="16A85ED1"/>
    <w:lvl w:ilvl="0" w:tentative="0">
      <w:start w:val="1"/>
      <w:numFmt w:val="chineseCounting"/>
      <w:suff w:val="nothing"/>
      <w:lvlText w:val="（%1）"/>
      <w:lvlJc w:val="left"/>
      <w:pPr>
        <w:ind w:left="0" w:firstLine="420"/>
      </w:pPr>
      <w:rPr>
        <w:rFonts w:hint="eastAsia"/>
      </w:rPr>
    </w:lvl>
  </w:abstractNum>
  <w:abstractNum w:abstractNumId="2">
    <w:nsid w:val="4B7B7967"/>
    <w:multiLevelType w:val="singleLevel"/>
    <w:tmpl w:val="4B7B7967"/>
    <w:lvl w:ilvl="0" w:tentative="0">
      <w:start w:val="1"/>
      <w:numFmt w:val="chineseCounting"/>
      <w:suff w:val="nothing"/>
      <w:lvlText w:val="（%1）"/>
      <w:lvlJc w:val="left"/>
      <w:pPr>
        <w:ind w:left="0" w:firstLine="420"/>
      </w:pPr>
      <w:rPr>
        <w:rFonts w:hint="eastAsia"/>
      </w:rPr>
    </w:lvl>
  </w:abstractNum>
  <w:abstractNum w:abstractNumId="3">
    <w:nsid w:val="685B3507"/>
    <w:multiLevelType w:val="singleLevel"/>
    <w:tmpl w:val="685B3507"/>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TI5ZGJhMWJkYWFmN2RlMDA5NWE3NmMwMWZiNzEifQ=="/>
  </w:docVars>
  <w:rsids>
    <w:rsidRoot w:val="00000000"/>
    <w:rsid w:val="07830DF3"/>
    <w:rsid w:val="136202C9"/>
    <w:rsid w:val="16F818C7"/>
    <w:rsid w:val="17836BED"/>
    <w:rsid w:val="314F3970"/>
    <w:rsid w:val="36A863DA"/>
    <w:rsid w:val="388F6E0E"/>
    <w:rsid w:val="4BA15CE6"/>
    <w:rsid w:val="5889510A"/>
    <w:rsid w:val="5C643BA0"/>
    <w:rsid w:val="5E9345EC"/>
    <w:rsid w:val="63FEA55B"/>
    <w:rsid w:val="6AB42B03"/>
    <w:rsid w:val="7AED34D1"/>
    <w:rsid w:val="7E4F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styleId="5">
    <w:name w:val="Body Text First Indent"/>
    <w:qFormat/>
    <w:uiPriority w:val="0"/>
    <w:pPr>
      <w:widowControl w:val="0"/>
      <w:spacing w:line="560" w:lineRule="exact"/>
      <w:ind w:firstLine="200" w:firstLineChars="200"/>
      <w:jc w:val="both"/>
    </w:pPr>
    <w:rPr>
      <w:rFonts w:ascii="Calibri" w:hAnsi="Calibri" w:eastAsia="仿宋" w:cs="仿宋"/>
      <w:kern w:val="2"/>
      <w:sz w:val="28"/>
      <w:szCs w:val="28"/>
      <w:lang w:val="zh-CN" w:eastAsia="zh-CN" w:bidi="zh-CN"/>
    </w:rPr>
  </w:style>
  <w:style w:type="paragraph" w:styleId="6">
    <w:name w:val="Body Text First Indent 2"/>
    <w:next w:val="1"/>
    <w:qFormat/>
    <w:uiPriority w:val="0"/>
    <w:pPr>
      <w:widowControl w:val="0"/>
      <w:suppressAutoHyphens/>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9">
    <w:name w:val="Hyperlink"/>
    <w:basedOn w:val="8"/>
    <w:qFormat/>
    <w:uiPriority w:val="0"/>
    <w:rPr>
      <w:color w:val="0000FF"/>
      <w:u w:val="single"/>
    </w:rPr>
  </w:style>
  <w:style w:type="paragraph" w:customStyle="1" w:styleId="10">
    <w:name w:val="目录"/>
    <w:next w:val="1"/>
    <w:qFormat/>
    <w:uiPriority w:val="0"/>
    <w:pPr>
      <w:jc w:val="center"/>
    </w:pPr>
    <w:rPr>
      <w:rFonts w:hint="eastAsia"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1159</Words>
  <Characters>1227</Characters>
  <Paragraphs>43</Paragraphs>
  <TotalTime>9</TotalTime>
  <ScaleCrop>false</ScaleCrop>
  <LinksUpToDate>false</LinksUpToDate>
  <CharactersWithSpaces>1256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2024-10-28T19:19:00Z</dcterms:created>
  <dc:creator>浮尘</dc:creator>
  <cp:lastModifiedBy>user</cp:lastModifiedBy>
  <cp:lastPrinted>2024-10-30T18:49:00Z</cp:lastPrinted>
  <dcterms:modified xsi:type="dcterms:W3CDTF">2024-10-30T14:48:48Z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A9428518E1394E36A0B684635CB4F2F1_13</vt:lpwstr>
  </property>
</Properties>
</file>